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#10</w:t>
      </w:r>
      <w:r>
        <w:rPr>
          <w:rFonts w:hint="eastAsia"/>
          <w:b/>
          <w:lang w:eastAsia="zh-CN"/>
        </w:rPr>
        <w:t>3</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R1-200</w:t>
      </w:r>
      <w:r>
        <w:rPr>
          <w:rFonts w:hint="eastAsia"/>
          <w:b/>
          <w:lang w:val="en-US" w:eastAsia="zh-CN"/>
        </w:rPr>
        <w:t>7959</w:t>
      </w:r>
      <w:bookmarkStart w:id="3" w:name="_GoBack"/>
      <w:bookmarkEnd w:id="3"/>
    </w:p>
    <w:p>
      <w:pPr>
        <w:pBdr>
          <w:bottom w:val="single" w:color="auto" w:sz="4" w:space="1"/>
        </w:pBdr>
        <w:spacing w:after="0"/>
        <w:jc w:val="left"/>
        <w:rPr>
          <w:b/>
          <w:lang w:eastAsia="zh-CN"/>
        </w:rPr>
      </w:pPr>
      <w:r>
        <w:rPr>
          <w:rFonts w:cs="Arial"/>
          <w:b/>
          <w:lang w:val="sv-SE" w:eastAsia="zh-CN"/>
        </w:rPr>
        <w:t xml:space="preserve">e-Meeting, </w:t>
      </w:r>
      <w:r>
        <w:rPr>
          <w:rFonts w:hint="eastAsia" w:cs="Arial"/>
          <w:b/>
          <w:lang w:eastAsia="zh-CN"/>
        </w:rPr>
        <w:t>October</w:t>
      </w:r>
      <w:r>
        <w:rPr>
          <w:rFonts w:cs="Arial"/>
          <w:b/>
          <w:lang w:val="sv-SE" w:eastAsia="zh-CN"/>
        </w:rPr>
        <w:t xml:space="preserve"> </w:t>
      </w:r>
      <w:r>
        <w:rPr>
          <w:rFonts w:hint="eastAsia" w:cs="Arial"/>
          <w:b/>
          <w:lang w:eastAsia="zh-CN"/>
        </w:rPr>
        <w:t>26</w:t>
      </w:r>
      <w:r>
        <w:rPr>
          <w:rFonts w:cs="Arial"/>
          <w:b/>
          <w:vertAlign w:val="superscript"/>
          <w:lang w:val="sv-SE" w:eastAsia="zh-CN"/>
        </w:rPr>
        <w:t>th</w:t>
      </w:r>
      <w:r>
        <w:rPr>
          <w:rFonts w:cs="Arial"/>
          <w:b/>
          <w:lang w:val="sv-SE" w:eastAsia="zh-CN"/>
        </w:rPr>
        <w:t xml:space="preserve"> – </w:t>
      </w:r>
      <w:r>
        <w:rPr>
          <w:rFonts w:hint="eastAsia" w:cs="Arial"/>
          <w:b/>
          <w:lang w:eastAsia="zh-CN"/>
        </w:rPr>
        <w:t>November 13</w:t>
      </w:r>
      <w:r>
        <w:rPr>
          <w:rFonts w:cs="Arial"/>
          <w:b/>
          <w:vertAlign w:val="superscript"/>
          <w:lang w:val="sv-SE" w:eastAsia="zh-CN"/>
        </w:rPr>
        <w:t>th</w:t>
      </w:r>
      <w:r>
        <w:rPr>
          <w:rFonts w:cs="Arial"/>
          <w:b/>
          <w:lang w:val="sv-SE" w:eastAsia="zh-CN"/>
        </w:rPr>
        <w:t>, 2020</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b/>
          <w:lang w:eastAsia="zh-CN"/>
        </w:rPr>
        <w:t>7.2.</w:t>
      </w:r>
      <w:r>
        <w:rPr>
          <w:rFonts w:hint="eastAsia"/>
          <w:b/>
          <w:lang w:eastAsia="zh-CN"/>
        </w:rPr>
        <w:t>2</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rFonts w:hint="eastAsia"/>
          <w:b/>
          <w:lang w:eastAsia="zh-CN"/>
        </w:rPr>
        <w:t>ZTE, Sanechips</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rFonts w:hint="eastAsia"/>
          <w:b/>
          <w:lang w:eastAsia="zh-CN"/>
        </w:rPr>
        <w:t>Text proposals on the initial access for NR-U</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4589705"/>
      <w:bookmarkStart w:id="1" w:name="_Ref129681862"/>
      <w:r>
        <w:t>Introduction</w:t>
      </w:r>
      <w:bookmarkEnd w:id="0"/>
      <w:bookmarkEnd w:id="1"/>
      <w:bookmarkStart w:id="2" w:name="_Ref129681832"/>
    </w:p>
    <w:p>
      <w:pPr>
        <w:spacing w:before="120" w:beforeLines="50" w:afterLines="50"/>
        <w:rPr>
          <w:lang w:eastAsia="zh-CN"/>
        </w:rPr>
      </w:pPr>
      <w:r>
        <w:rPr>
          <w:rFonts w:hint="eastAsia"/>
          <w:lang w:eastAsia="zh-CN"/>
        </w:rPr>
        <w:t xml:space="preserve">In this </w:t>
      </w:r>
      <w:r>
        <w:rPr>
          <w:lang w:eastAsia="zh-CN"/>
        </w:rPr>
        <w:t>contribution</w:t>
      </w:r>
      <w:r>
        <w:rPr>
          <w:rFonts w:hint="eastAsia"/>
          <w:lang w:eastAsia="zh-CN"/>
        </w:rPr>
        <w:t xml:space="preserve">, we provide some draft TPs on </w:t>
      </w:r>
      <w:r>
        <w:rPr>
          <w:lang w:eastAsia="zh-CN"/>
        </w:rPr>
        <w:t>the</w:t>
      </w:r>
      <w:r>
        <w:rPr>
          <w:rFonts w:hint="eastAsia"/>
          <w:lang w:eastAsia="zh-CN"/>
        </w:rPr>
        <w:t xml:space="preserve"> remaining issue of initial access for Rel-16 NR-U.</w:t>
      </w:r>
    </w:p>
    <w:p/>
    <w:bookmarkEnd w:id="2"/>
    <w:p>
      <w:pPr>
        <w:pStyle w:val="2"/>
      </w:pPr>
      <w:r>
        <w:rPr>
          <w:rFonts w:hint="eastAsia"/>
          <w:lang w:eastAsia="zh-CN"/>
        </w:rPr>
        <w:t>MsgA PRACH and PUSCH configured in multiple RB sets</w:t>
      </w:r>
    </w:p>
    <w:p>
      <w:pPr>
        <w:rPr>
          <w:rFonts w:hint="eastAsia"/>
          <w:lang w:eastAsia="zh-CN"/>
        </w:rPr>
      </w:pPr>
      <w:r>
        <w:rPr>
          <w:rFonts w:hint="eastAsia"/>
          <w:lang w:eastAsia="zh-CN"/>
        </w:rPr>
        <w:t xml:space="preserve">In RAN1 #102e-meeting NR-U session, </w:t>
      </w:r>
      <w:r>
        <w:rPr>
          <w:rFonts w:hint="eastAsia"/>
          <w:lang w:val="en-US" w:eastAsia="zh-CN"/>
        </w:rPr>
        <w:t>the topic about whether and how to configure PRACH occasions in multiple RB sets was discussed and the following agreement is approved:</w:t>
      </w:r>
      <w:r>
        <w:rPr>
          <w:rFonts w:hint="eastAsia"/>
          <w:lang w:eastAsia="zh-CN"/>
        </w:rPr>
        <w:t xml:space="preserve"> </w:t>
      </w:r>
    </w:p>
    <w:tbl>
      <w:tblPr>
        <w:tblStyle w:val="39"/>
        <w:tblW w:w="93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94" w:type="dxa"/>
          </w:tcPr>
          <w:p>
            <w:r>
              <w:rPr>
                <w:highlight w:val="green"/>
              </w:rPr>
              <w:t>Agreement:</w:t>
            </w:r>
          </w:p>
          <w:p>
            <w:pPr>
              <w:rPr>
                <w:szCs w:val="20"/>
                <w:lang w:eastAsia="zh-CN"/>
              </w:rPr>
            </w:pPr>
            <w:r>
              <w:t>For connected mode UE, at least for PRACH sequence length 1151 and 571, support configuring multiple FDMed ROs in active UL BWP over multiple RB sets, where each RO will be confined within one RB set.</w:t>
            </w:r>
          </w:p>
        </w:tc>
      </w:tr>
    </w:tbl>
    <w:p>
      <w:pPr>
        <w:rPr>
          <w:rFonts w:hint="eastAsia"/>
          <w:lang w:eastAsia="zh-CN"/>
        </w:rPr>
      </w:pPr>
    </w:p>
    <w:p>
      <w:pPr>
        <w:rPr>
          <w:lang w:eastAsia="zh-CN"/>
        </w:rPr>
      </w:pPr>
      <w:r>
        <w:rPr>
          <w:rFonts w:hint="eastAsia"/>
          <w:lang w:eastAsia="zh-CN"/>
        </w:rPr>
        <w:t>A remaining issue about the msgA PUSCH RB set determination was discussed in last meeting but without consensus. Considering whether 2-step RACH ROs and POs could be configured in multiple RB sets or not, there are 3 different options according to the discussions in last meeting:</w:t>
      </w:r>
    </w:p>
    <w:p>
      <w:pPr>
        <w:numPr>
          <w:ilvl w:val="0"/>
          <w:numId w:val="9"/>
        </w:numPr>
        <w:rPr>
          <w:lang w:eastAsia="zh-CN"/>
        </w:rPr>
      </w:pPr>
      <w:r>
        <w:rPr>
          <w:rFonts w:hint="eastAsia"/>
          <w:lang w:eastAsia="zh-CN"/>
        </w:rPr>
        <w:t>Option 1: 2-step RACH ROs and POs both could be configured in multiple RB sets.</w:t>
      </w:r>
    </w:p>
    <w:p>
      <w:pPr>
        <w:numPr>
          <w:ilvl w:val="0"/>
          <w:numId w:val="9"/>
        </w:numPr>
        <w:rPr>
          <w:lang w:eastAsia="zh-CN"/>
        </w:rPr>
      </w:pPr>
      <w:r>
        <w:rPr>
          <w:rFonts w:hint="eastAsia"/>
          <w:lang w:eastAsia="zh-CN"/>
        </w:rPr>
        <w:t>Option 2: 2-step RACH ROs could be configured in multiple RB sets, 2-step RACH POs are confined within one RB set.</w:t>
      </w:r>
    </w:p>
    <w:p>
      <w:pPr>
        <w:numPr>
          <w:ilvl w:val="0"/>
          <w:numId w:val="9"/>
        </w:numPr>
        <w:rPr>
          <w:lang w:eastAsia="zh-CN"/>
        </w:rPr>
      </w:pPr>
      <w:r>
        <w:rPr>
          <w:rFonts w:hint="eastAsia"/>
          <w:lang w:eastAsia="zh-CN"/>
        </w:rPr>
        <w:t>Option 3: 2-step RACH ROs and POs are both confined within one RB set.</w:t>
      </w:r>
    </w:p>
    <w:p>
      <w:pPr>
        <w:rPr>
          <w:lang w:eastAsia="zh-CN"/>
        </w:rPr>
      </w:pPr>
      <w:r>
        <w:rPr>
          <w:lang w:eastAsia="zh-CN"/>
        </w:rPr>
        <w:t>It should be noticed that</w:t>
      </w:r>
      <w:r>
        <w:rPr>
          <w:rFonts w:hint="eastAsia"/>
          <w:lang w:eastAsia="zh-CN"/>
        </w:rPr>
        <w:t xml:space="preserve"> t</w:t>
      </w:r>
      <w:r>
        <w:rPr>
          <w:lang w:eastAsia="zh-CN"/>
        </w:rPr>
        <w:t>he following agreement has been made in RAN1#98bis</w:t>
      </w:r>
      <w:r>
        <w:rPr>
          <w:rFonts w:hint="eastAsia"/>
          <w:lang w:eastAsia="zh-CN"/>
        </w:rPr>
        <w:t xml:space="preserve"> </w:t>
      </w:r>
      <w:r>
        <w:rPr>
          <w:lang w:eastAsia="zh-CN"/>
        </w:rPr>
        <w:t xml:space="preserve">under </w:t>
      </w:r>
      <w:r>
        <w:rPr>
          <w:rFonts w:hint="eastAsia"/>
          <w:lang w:eastAsia="zh-CN"/>
        </w:rPr>
        <w:t xml:space="preserve">2-step RACH </w:t>
      </w:r>
      <w:r>
        <w:rPr>
          <w:lang w:eastAsia="zh-CN"/>
        </w:rPr>
        <w:t xml:space="preserve">WI, while for some reason it is not yet reflected in the current specifications. </w:t>
      </w:r>
    </w:p>
    <w:tbl>
      <w:tblPr>
        <w:tblStyle w:val="39"/>
        <w:tblW w:w="93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94" w:type="dxa"/>
          </w:tcPr>
          <w:p>
            <w:pPr>
              <w:pStyle w:val="56"/>
              <w:widowControl w:val="0"/>
              <w:ind w:left="0"/>
              <w:contextualSpacing w:val="0"/>
              <w:rPr>
                <w:i/>
                <w:iCs/>
                <w:szCs w:val="20"/>
              </w:rPr>
            </w:pPr>
            <w:r>
              <w:rPr>
                <w:szCs w:val="20"/>
                <w:highlight w:val="green"/>
                <w:lang w:eastAsia="zh-CN"/>
              </w:rPr>
              <w:t>Agreements</w:t>
            </w:r>
            <w:r>
              <w:rPr>
                <w:szCs w:val="20"/>
                <w:lang w:eastAsia="zh-CN"/>
              </w:rPr>
              <w:t>:</w:t>
            </w:r>
          </w:p>
          <w:p>
            <w:pPr>
              <w:pStyle w:val="56"/>
              <w:widowControl w:val="0"/>
              <w:numPr>
                <w:ilvl w:val="0"/>
                <w:numId w:val="10"/>
              </w:numPr>
              <w:contextualSpacing w:val="0"/>
              <w:rPr>
                <w:szCs w:val="20"/>
                <w:lang w:eastAsia="zh-CN"/>
              </w:rPr>
            </w:pPr>
            <w:r>
              <w:rPr>
                <w:szCs w:val="20"/>
                <w:lang w:eastAsia="zh-CN"/>
              </w:rPr>
              <w:t xml:space="preserve">All msgA PUSCH occasions and the associated msgA RACH occasions are confined within a single 20 MHz carrier/LBT bandwidth </w:t>
            </w:r>
          </w:p>
        </w:tc>
      </w:tr>
    </w:tbl>
    <w:p>
      <w:pPr>
        <w:rPr>
          <w:lang w:eastAsia="zh-CN"/>
        </w:rPr>
      </w:pPr>
      <w:r>
        <w:rPr>
          <w:rFonts w:hint="eastAsia"/>
          <w:lang w:eastAsia="zh-CN"/>
        </w:rPr>
        <w:t xml:space="preserve">Option 1 completely conflicts with the above agreement, and allowing 2-step RACH POs configured in multiple RB sets will cause multiple POs across the RB sets. Besides, if 2-step RACH POs could be configured in multiple RB sets, the RO to PO mapping method should also be adjusted since the PUSCH resource units are mapped firstly in increasing order of frequency. Considering the agreement above and spec impact, Option 1 is not </w:t>
      </w:r>
      <w:r>
        <w:rPr>
          <w:lang w:eastAsia="zh-CN"/>
        </w:rPr>
        <w:t>preferred</w:t>
      </w:r>
      <w:r>
        <w:rPr>
          <w:rFonts w:hint="eastAsia"/>
          <w:lang w:eastAsia="zh-CN"/>
        </w:rPr>
        <w:t xml:space="preserve">. </w:t>
      </w:r>
    </w:p>
    <w:p>
      <w:pPr>
        <w:rPr>
          <w:lang w:eastAsia="zh-CN"/>
        </w:rPr>
      </w:pPr>
      <w:r>
        <w:rPr>
          <w:rFonts w:hint="eastAsia"/>
          <w:lang w:eastAsia="zh-CN"/>
        </w:rPr>
        <w:t xml:space="preserve">Option 2 </w:t>
      </w:r>
      <w:r>
        <w:rPr>
          <w:lang w:eastAsia="zh-CN"/>
        </w:rPr>
        <w:t>could be</w:t>
      </w:r>
      <w:r>
        <w:rPr>
          <w:rFonts w:hint="eastAsia"/>
          <w:lang w:eastAsia="zh-CN"/>
        </w:rPr>
        <w:t xml:space="preserve"> a compromised solution, since it has already been supported that </w:t>
      </w:r>
      <w:r>
        <w:rPr>
          <w:lang w:eastAsia="zh-CN"/>
        </w:rPr>
        <w:t xml:space="preserve">for both 4-step RACH and </w:t>
      </w:r>
      <w:r>
        <w:rPr>
          <w:rFonts w:hint="eastAsia"/>
          <w:lang w:eastAsia="zh-CN"/>
        </w:rPr>
        <w:t>2-step RACH</w:t>
      </w:r>
      <w:r>
        <w:rPr>
          <w:lang w:eastAsia="zh-CN"/>
        </w:rPr>
        <w:t>, the</w:t>
      </w:r>
      <w:r>
        <w:rPr>
          <w:rFonts w:hint="eastAsia"/>
          <w:lang w:eastAsia="zh-CN"/>
        </w:rPr>
        <w:t xml:space="preserve"> ROs </w:t>
      </w:r>
      <w:r>
        <w:rPr>
          <w:lang w:eastAsia="zh-CN"/>
        </w:rPr>
        <w:t xml:space="preserve">for the PRACH with length 571 or 1151 </w:t>
      </w:r>
      <w:r>
        <w:rPr>
          <w:rFonts w:hint="eastAsia"/>
          <w:lang w:eastAsia="zh-CN"/>
        </w:rPr>
        <w:t>could be configured in multiple RB sets based on the agreement made in last meeting. Besides, it</w:t>
      </w:r>
      <w:r>
        <w:rPr>
          <w:lang w:eastAsia="zh-CN"/>
        </w:rPr>
        <w:t>’</w:t>
      </w:r>
      <w:r>
        <w:rPr>
          <w:rFonts w:hint="eastAsia"/>
          <w:lang w:eastAsia="zh-CN"/>
        </w:rPr>
        <w:t xml:space="preserve">s beneficial to keep 2-step RACH ROs the same behavior as 4-step RACH ROs since 2-step RACH and 4-step RACH could share the same ROs. Option 2 coordinates the 2 agreements. </w:t>
      </w:r>
    </w:p>
    <w:p>
      <w:pPr>
        <w:rPr>
          <w:lang w:eastAsia="zh-CN"/>
        </w:rPr>
      </w:pPr>
      <w:r>
        <w:rPr>
          <w:rFonts w:hint="eastAsia"/>
          <w:lang w:eastAsia="zh-CN"/>
        </w:rPr>
        <w:t xml:space="preserve">Option 3 strictly reflects the agreement above. Although it seems that it </w:t>
      </w:r>
      <w:r>
        <w:rPr>
          <w:lang w:eastAsia="zh-CN"/>
        </w:rPr>
        <w:t>has some restriction considering</w:t>
      </w:r>
      <w:r>
        <w:rPr>
          <w:rFonts w:hint="eastAsia"/>
          <w:lang w:eastAsia="zh-CN"/>
        </w:rPr>
        <w:t xml:space="preserve"> the agreement</w:t>
      </w:r>
      <w:r>
        <w:rPr>
          <w:lang w:eastAsia="zh-CN"/>
        </w:rPr>
        <w:t xml:space="preserve"> made</w:t>
      </w:r>
      <w:r>
        <w:rPr>
          <w:rFonts w:hint="eastAsia"/>
          <w:lang w:eastAsia="zh-CN"/>
        </w:rPr>
        <w:t xml:space="preserve"> in</w:t>
      </w:r>
      <w:r>
        <w:rPr>
          <w:lang w:eastAsia="zh-CN"/>
        </w:rPr>
        <w:t xml:space="preserve"> the</w:t>
      </w:r>
      <w:r>
        <w:rPr>
          <w:rFonts w:hint="eastAsia"/>
          <w:lang w:eastAsia="zh-CN"/>
        </w:rPr>
        <w:t xml:space="preserve"> last meeting, </w:t>
      </w:r>
      <w:r>
        <w:rPr>
          <w:lang w:eastAsia="zh-CN"/>
        </w:rPr>
        <w:t>i.e. one RO per RB set for the PRACH with length 571 or 1151. So if this option is adopted, it implies that the number of FDMed RO has to be always configured as 1.</w:t>
      </w:r>
    </w:p>
    <w:p>
      <w:pPr>
        <w:rPr>
          <w:lang w:eastAsia="zh-CN"/>
        </w:rPr>
      </w:pPr>
      <w:r>
        <w:rPr>
          <w:rFonts w:hint="eastAsia"/>
          <w:lang w:eastAsia="zh-CN"/>
        </w:rPr>
        <w:t>In all, we think Option 2 and Option 3 are both feasible, so we prepare TP#1a and TP#1b to reflect Option2 and Option 3 respectively.</w:t>
      </w:r>
    </w:p>
    <w:p>
      <w:pPr>
        <w:autoSpaceDE/>
        <w:autoSpaceDN/>
        <w:adjustRightInd/>
        <w:spacing w:after="0"/>
        <w:rPr>
          <w:b/>
          <w:i/>
          <w:u w:val="single"/>
        </w:rPr>
      </w:pPr>
      <w:r>
        <w:rPr>
          <w:rFonts w:hint="eastAsia"/>
          <w:b/>
          <w:i/>
          <w:u w:val="single"/>
        </w:rPr>
        <w:t xml:space="preserve">Proposal </w:t>
      </w:r>
      <w:r>
        <w:rPr>
          <w:b/>
          <w:i/>
          <w:u w:val="single"/>
        </w:rPr>
        <w:t>1</w:t>
      </w:r>
      <w:r>
        <w:rPr>
          <w:rFonts w:hint="eastAsia"/>
          <w:b/>
          <w:i/>
          <w:u w:val="single"/>
        </w:rPr>
        <w:t>:</w:t>
      </w:r>
      <w:r>
        <w:rPr>
          <w:b/>
          <w:i/>
          <w:u w:val="single"/>
        </w:rPr>
        <w:t xml:space="preserve"> </w:t>
      </w:r>
    </w:p>
    <w:p>
      <w:pPr>
        <w:pStyle w:val="56"/>
        <w:numPr>
          <w:ilvl w:val="0"/>
          <w:numId w:val="11"/>
        </w:numPr>
      </w:pPr>
      <w:r>
        <w:t>Adopt the TP#1</w:t>
      </w:r>
      <w:r>
        <w:rPr>
          <w:rFonts w:hint="eastAsia"/>
          <w:lang w:eastAsia="zh-CN"/>
        </w:rPr>
        <w:t>a or TP#1b</w:t>
      </w:r>
      <w:r>
        <w:t xml:space="preserve"> in 38.21</w:t>
      </w:r>
      <w:r>
        <w:rPr>
          <w:rFonts w:hint="eastAsia"/>
          <w:lang w:eastAsia="zh-CN"/>
        </w:rPr>
        <w:t>3</w:t>
      </w:r>
      <w:r>
        <w:t xml:space="preserve">, to </w:t>
      </w:r>
      <w:r>
        <w:rPr>
          <w:rFonts w:hint="eastAsia" w:eastAsia="宋体"/>
          <w:bCs/>
          <w:lang w:eastAsia="zh-CN"/>
        </w:rPr>
        <w:t>capture the missed agreement in RAN1 #98b meeting</w:t>
      </w:r>
    </w:p>
    <w:p>
      <w:pPr>
        <w:pStyle w:val="56"/>
        <w:ind w:left="0"/>
      </w:pPr>
    </w:p>
    <w:tbl>
      <w:tblPr>
        <w:tblStyle w:val="3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after="0"/>
              <w:rPr>
                <w:b/>
                <w:sz w:val="20"/>
                <w:szCs w:val="20"/>
                <w:u w:val="single"/>
                <w:lang w:eastAsia="zh-CN"/>
              </w:rPr>
            </w:pPr>
            <w:r>
              <w:rPr>
                <w:b/>
                <w:sz w:val="20"/>
                <w:szCs w:val="20"/>
                <w:u w:val="single"/>
                <w:lang w:eastAsia="zh-CN"/>
              </w:rPr>
              <w:t>Reasons for change</w:t>
            </w:r>
          </w:p>
          <w:p>
            <w:pPr>
              <w:widowControl w:val="0"/>
              <w:spacing w:after="0"/>
              <w:rPr>
                <w:sz w:val="20"/>
                <w:szCs w:val="20"/>
                <w:lang w:eastAsia="zh-CN"/>
              </w:rPr>
            </w:pPr>
            <w:r>
              <w:rPr>
                <w:sz w:val="20"/>
                <w:szCs w:val="20"/>
              </w:rPr>
              <w:t>To capture the agreement in the specification</w:t>
            </w:r>
          </w:p>
          <w:p>
            <w:pPr>
              <w:widowControl w:val="0"/>
              <w:spacing w:after="0"/>
              <w:rPr>
                <w:b/>
                <w:sz w:val="20"/>
                <w:szCs w:val="20"/>
                <w:u w:val="single"/>
                <w:lang w:eastAsia="zh-CN"/>
              </w:rPr>
            </w:pPr>
            <w:r>
              <w:rPr>
                <w:b/>
                <w:sz w:val="20"/>
                <w:szCs w:val="20"/>
                <w:u w:val="single"/>
                <w:lang w:eastAsia="zh-CN"/>
              </w:rPr>
              <w:t>Summary of changes</w:t>
            </w:r>
          </w:p>
          <w:p>
            <w:pPr>
              <w:pStyle w:val="166"/>
              <w:widowControl w:val="0"/>
              <w:autoSpaceDE w:val="0"/>
              <w:autoSpaceDN w:val="0"/>
              <w:adjustRightInd w:val="0"/>
              <w:snapToGrid w:val="0"/>
              <w:spacing w:after="0"/>
              <w:jc w:val="both"/>
              <w:rPr>
                <w:rFonts w:ascii="Times New Roman" w:hAnsi="Times New Roman" w:cs="Times New Roman"/>
                <w:sz w:val="20"/>
                <w:szCs w:val="20"/>
              </w:rPr>
            </w:pPr>
            <w:r>
              <w:rPr>
                <w:sz w:val="20"/>
                <w:szCs w:val="20"/>
              </w:rPr>
              <w:t>All msgA PUSCH occasions are confined within a single RB set</w:t>
            </w:r>
          </w:p>
          <w:p>
            <w:pPr>
              <w:widowControl w:val="0"/>
              <w:spacing w:after="0"/>
              <w:rPr>
                <w:b/>
                <w:sz w:val="20"/>
                <w:szCs w:val="20"/>
                <w:u w:val="single"/>
                <w:lang w:eastAsia="zh-CN"/>
              </w:rPr>
            </w:pPr>
            <w:r>
              <w:rPr>
                <w:b/>
                <w:sz w:val="20"/>
                <w:szCs w:val="20"/>
                <w:u w:val="single"/>
                <w:lang w:eastAsia="zh-CN"/>
              </w:rPr>
              <w:t>Specs/Sections impacted</w:t>
            </w:r>
          </w:p>
          <w:p>
            <w:pPr>
              <w:widowControl w:val="0"/>
              <w:spacing w:after="0"/>
              <w:rPr>
                <w:sz w:val="20"/>
                <w:szCs w:val="20"/>
                <w:lang w:eastAsia="zh-CN"/>
              </w:rPr>
            </w:pPr>
            <w:r>
              <w:rPr>
                <w:sz w:val="20"/>
                <w:szCs w:val="20"/>
                <w:lang w:eastAsia="zh-CN"/>
              </w:rPr>
              <w:t>TS 38.213, Section 8.1A</w:t>
            </w:r>
          </w:p>
          <w:p>
            <w:pPr>
              <w:widowControl w:val="0"/>
              <w:spacing w:after="0"/>
              <w:rPr>
                <w:b/>
                <w:bCs/>
                <w:sz w:val="20"/>
                <w:szCs w:val="20"/>
                <w:u w:val="single"/>
              </w:rPr>
            </w:pPr>
            <w:r>
              <w:rPr>
                <w:b/>
                <w:bCs/>
                <w:sz w:val="20"/>
                <w:szCs w:val="20"/>
                <w:u w:val="single"/>
              </w:rPr>
              <w:t>Consequences if not approved:</w:t>
            </w:r>
          </w:p>
          <w:p>
            <w:pPr>
              <w:widowControl w:val="0"/>
              <w:spacing w:after="0"/>
            </w:pPr>
            <w:r>
              <w:rPr>
                <w:rFonts w:hint="eastAsia"/>
                <w:sz w:val="20"/>
                <w:szCs w:val="20"/>
              </w:rPr>
              <w:t>MsgA PUSCH</w:t>
            </w:r>
            <w:r>
              <w:rPr>
                <w:sz w:val="20"/>
                <w:szCs w:val="20"/>
              </w:rPr>
              <w:t xml:space="preserve"> may across</w:t>
            </w:r>
            <w:r>
              <w:rPr>
                <w:rFonts w:hint="eastAsia"/>
                <w:sz w:val="20"/>
                <w:szCs w:val="20"/>
              </w:rPr>
              <w:t xml:space="preserve"> multiple RB sets</w:t>
            </w:r>
          </w:p>
          <w:p>
            <w:pPr>
              <w:widowControl w:val="0"/>
              <w:spacing w:after="0"/>
              <w:rPr>
                <w:sz w:val="20"/>
                <w:szCs w:val="20"/>
              </w:rPr>
            </w:pPr>
            <w:r>
              <w:rPr>
                <w:sz w:val="20"/>
                <w:szCs w:val="20"/>
              </w:rPr>
              <w:t>======================== Start of TP1</w:t>
            </w:r>
            <w:r>
              <w:rPr>
                <w:rFonts w:hint="eastAsia"/>
                <w:sz w:val="20"/>
                <w:szCs w:val="20"/>
                <w:lang w:eastAsia="zh-CN"/>
              </w:rPr>
              <w:t>a</w:t>
            </w:r>
            <w:r>
              <w:rPr>
                <w:sz w:val="20"/>
                <w:szCs w:val="20"/>
              </w:rPr>
              <w:t xml:space="preserve"> for TS 38.213 ===============================</w:t>
            </w:r>
          </w:p>
          <w:p>
            <w:pPr>
              <w:widowControl w:val="0"/>
              <w:spacing w:after="0" w:line="288" w:lineRule="auto"/>
              <w:rPr>
                <w:rFonts w:ascii="Arial" w:hAnsi="Arial" w:eastAsia="宋体" w:cs="Arial"/>
                <w:sz w:val="24"/>
                <w:lang w:eastAsia="zh-CN"/>
              </w:rPr>
            </w:pPr>
            <w:r>
              <w:rPr>
                <w:rFonts w:ascii="Arial" w:hAnsi="Arial" w:eastAsia="宋体" w:cs="Arial"/>
                <w:sz w:val="24"/>
                <w:lang w:eastAsia="zh-CN"/>
              </w:rPr>
              <w:t xml:space="preserve">8.1A PUSCH for Type-2 random access procedure </w:t>
            </w:r>
          </w:p>
          <w:p>
            <w:pPr>
              <w:widowControl w:val="0"/>
              <w:spacing w:after="0"/>
              <w:jc w:val="center"/>
              <w:rPr>
                <w:color w:val="FF0000"/>
                <w:sz w:val="20"/>
                <w:szCs w:val="20"/>
              </w:rPr>
            </w:pPr>
            <w:r>
              <w:rPr>
                <w:color w:val="FF0000"/>
                <w:sz w:val="20"/>
                <w:szCs w:val="20"/>
              </w:rPr>
              <w:t>*** Unchanged text omitted ***</w:t>
            </w:r>
          </w:p>
          <w:p>
            <w:pPr>
              <w:widowControl w:val="0"/>
              <w:autoSpaceDE/>
              <w:autoSpaceDN/>
              <w:adjustRightInd/>
              <w:snapToGrid/>
              <w:spacing w:after="180"/>
              <w:jc w:val="left"/>
              <w:rPr>
                <w:rFonts w:eastAsia="MS Mincho"/>
                <w:sz w:val="20"/>
                <w:szCs w:val="20"/>
              </w:rPr>
            </w:pPr>
            <w:r>
              <w:rPr>
                <w:rFonts w:eastAsia="宋体" w:cs="Times"/>
                <w:sz w:val="20"/>
                <w:szCs w:val="20"/>
                <w:lang w:val="en-GB"/>
              </w:rPr>
              <w:t xml:space="preserve">A UE determines a first interlace or first RB for a first PUSCH occasion in an active UL BWP respectively from </w:t>
            </w:r>
            <w:r>
              <w:rPr>
                <w:rFonts w:eastAsia="宋体"/>
                <w:i/>
                <w:iCs/>
                <w:sz w:val="20"/>
                <w:szCs w:val="20"/>
                <w:lang w:val="en-GB"/>
              </w:rPr>
              <w:t>interlaceIndexFirstPO-MsgA-PUSCH</w:t>
            </w:r>
            <w:r>
              <w:rPr>
                <w:rFonts w:eastAsia="宋体" w:cs="Times"/>
                <w:sz w:val="20"/>
                <w:szCs w:val="20"/>
                <w:lang w:val="en-GB"/>
              </w:rPr>
              <w:t xml:space="preserve"> or from </w:t>
            </w:r>
            <w:r>
              <w:rPr>
                <w:rFonts w:eastAsia="宋体"/>
                <w:i/>
                <w:iCs/>
                <w:sz w:val="20"/>
                <w:szCs w:val="20"/>
                <w:lang w:val="en-GB"/>
              </w:rPr>
              <w:t>frequencyStartMsgA-PUSCH</w:t>
            </w:r>
            <w:r>
              <w:rPr>
                <w:rFonts w:eastAsia="宋体"/>
                <w:iCs/>
                <w:sz w:val="20"/>
                <w:szCs w:val="20"/>
                <w:lang w:val="en-GB"/>
              </w:rPr>
              <w:t xml:space="preserve"> that provides an offset, in number of RBs in the active UL BWP, </w:t>
            </w:r>
            <w:r>
              <w:rPr>
                <w:rFonts w:eastAsia="宋体" w:cs="Times"/>
                <w:sz w:val="20"/>
                <w:szCs w:val="20"/>
                <w:lang w:val="en-GB"/>
              </w:rPr>
              <w:t xml:space="preserve">from </w:t>
            </w:r>
            <w:r>
              <w:rPr>
                <w:rFonts w:eastAsia="宋体" w:cs="Times"/>
                <w:sz w:val="20"/>
                <w:szCs w:val="20"/>
              </w:rPr>
              <w:t>a first</w:t>
            </w:r>
            <w:r>
              <w:rPr>
                <w:rFonts w:eastAsia="宋体" w:cs="Times"/>
                <w:sz w:val="20"/>
                <w:szCs w:val="20"/>
                <w:lang w:val="en-GB"/>
              </w:rPr>
              <w:t xml:space="preserve"> RB of the active UL BWP. A PUSCH occasion includes a number of interlaces or a number of RBs provided by </w:t>
            </w:r>
            <w:r>
              <w:rPr>
                <w:rFonts w:eastAsia="宋体"/>
                <w:i/>
                <w:iCs/>
                <w:sz w:val="20"/>
                <w:szCs w:val="20"/>
                <w:lang w:val="en-GB"/>
              </w:rPr>
              <w:t>nrofInterlacesPerMsgA-PO</w:t>
            </w:r>
            <w:r>
              <w:rPr>
                <w:rFonts w:eastAsia="宋体" w:cs="Times"/>
                <w:sz w:val="20"/>
                <w:szCs w:val="20"/>
                <w:lang w:val="en-GB"/>
              </w:rPr>
              <w:t xml:space="preserve"> or by </w:t>
            </w:r>
            <w:r>
              <w:rPr>
                <w:rFonts w:eastAsia="宋体"/>
                <w:i/>
                <w:iCs/>
                <w:sz w:val="20"/>
                <w:szCs w:val="20"/>
                <w:lang w:val="en-GB"/>
              </w:rPr>
              <w:t>nrofPRBs-</w:t>
            </w:r>
            <w:r>
              <w:rPr>
                <w:rFonts w:hint="eastAsia" w:eastAsia="宋体"/>
                <w:i/>
                <w:iCs/>
                <w:sz w:val="20"/>
                <w:szCs w:val="20"/>
                <w:lang w:val="en-GB"/>
              </w:rPr>
              <w:t>per</w:t>
            </w:r>
            <w:r>
              <w:rPr>
                <w:rFonts w:eastAsia="宋体"/>
                <w:i/>
                <w:iCs/>
                <w:sz w:val="20"/>
                <w:szCs w:val="20"/>
                <w:lang w:val="en-GB"/>
              </w:rPr>
              <w:t>MsgA-PO</w:t>
            </w:r>
            <w:r>
              <w:rPr>
                <w:rFonts w:eastAsia="宋体"/>
                <w:iCs/>
                <w:sz w:val="20"/>
                <w:szCs w:val="20"/>
                <w:lang w:val="en-GB"/>
              </w:rPr>
              <w:t xml:space="preserve">, respectively. Consecutive PUSCH occasions in the frequency domain of an UL BWP are separated by a number of RBs provided by </w:t>
            </w:r>
            <w:r>
              <w:rPr>
                <w:rFonts w:eastAsia="宋体"/>
                <w:i/>
                <w:iCs/>
                <w:sz w:val="20"/>
                <w:szCs w:val="20"/>
                <w:lang w:val="en-GB"/>
              </w:rPr>
              <w:t>g</w:t>
            </w:r>
            <w:r>
              <w:rPr>
                <w:rFonts w:hint="eastAsia" w:eastAsia="宋体"/>
                <w:i/>
                <w:iCs/>
                <w:sz w:val="20"/>
                <w:szCs w:val="20"/>
                <w:lang w:val="en-GB"/>
              </w:rPr>
              <w:t>uardBandM</w:t>
            </w:r>
            <w:r>
              <w:rPr>
                <w:rFonts w:eastAsia="宋体"/>
                <w:i/>
                <w:iCs/>
                <w:sz w:val="20"/>
                <w:szCs w:val="20"/>
                <w:lang w:val="en-GB"/>
              </w:rPr>
              <w:t>sgA-PUSCH</w:t>
            </w:r>
            <w:r>
              <w:rPr>
                <w:rFonts w:eastAsia="宋体"/>
                <w:iCs/>
                <w:sz w:val="20"/>
                <w:szCs w:val="20"/>
                <w:lang w:val="en-GB"/>
              </w:rPr>
              <w:t xml:space="preserve">. A number </w:t>
            </w:r>
            <m:oMath>
              <m:sSub>
                <m:sSubPr>
                  <m:ctrlPr>
                    <w:rPr>
                      <w:rFonts w:ascii="Cambria Math" w:hAnsi="Cambria Math" w:eastAsia="等线"/>
                      <w:b/>
                      <w:i/>
                      <w:sz w:val="24"/>
                      <w:szCs w:val="24"/>
                    </w:rPr>
                  </m:ctrlPr>
                </m:sSubPr>
                <m:e>
                  <m:r>
                    <w:rPr>
                      <w:rFonts w:ascii="Cambria Math" w:hAnsi="Cambria Math" w:eastAsia="等线"/>
                    </w:rPr>
                    <m:t>N</m:t>
                  </m:r>
                  <m:ctrlPr>
                    <w:rPr>
                      <w:rFonts w:ascii="Cambria Math" w:hAnsi="Cambria Math" w:eastAsia="等线"/>
                      <w:b/>
                      <w:i/>
                      <w:sz w:val="24"/>
                      <w:szCs w:val="24"/>
                    </w:rPr>
                  </m:ctrlPr>
                </m:e>
                <m:sub>
                  <m:r>
                    <w:rPr>
                      <w:rFonts w:ascii="Cambria Math" w:hAnsi="Cambria Math" w:eastAsia="等线"/>
                    </w:rPr>
                    <m:t>f</m:t>
                  </m:r>
                  <m:ctrlPr>
                    <w:rPr>
                      <w:rFonts w:ascii="Cambria Math" w:hAnsi="Cambria Math" w:eastAsia="等线"/>
                      <w:b/>
                      <w:i/>
                      <w:sz w:val="24"/>
                      <w:szCs w:val="24"/>
                    </w:rPr>
                  </m:ctrlPr>
                </m:sub>
              </m:sSub>
              <m:r>
                <m:rPr>
                  <m:sty m:val="bi"/>
                </m:rPr>
                <w:rPr>
                  <w:rFonts w:ascii="Cambria Math" w:hAnsi="Cambria Math" w:eastAsia="等线"/>
                </w:rPr>
                <m:t xml:space="preserve"> </m:t>
              </m:r>
            </m:oMath>
            <w:r>
              <w:rPr>
                <w:rFonts w:eastAsia="宋体"/>
                <w:iCs/>
                <w:sz w:val="20"/>
                <w:szCs w:val="20"/>
                <w:lang w:val="en-GB"/>
              </w:rPr>
              <w:t xml:space="preserve">of PUSCH occasions in the frequency domain of an UL BWP is provided by </w:t>
            </w:r>
            <w:r>
              <w:rPr>
                <w:rFonts w:eastAsia="宋体"/>
                <w:i/>
                <w:iCs/>
                <w:sz w:val="20"/>
                <w:szCs w:val="20"/>
                <w:lang w:val="en-GB" w:eastAsia="zh-CN"/>
              </w:rPr>
              <w:t>nrofMsgA-PO-FDM</w:t>
            </w:r>
            <w:r>
              <w:rPr>
                <w:rFonts w:eastAsia="宋体"/>
                <w:iCs/>
                <w:sz w:val="20"/>
                <w:szCs w:val="20"/>
                <w:lang w:val="en-GB"/>
              </w:rPr>
              <w:t xml:space="preserve">. </w:t>
            </w:r>
            <w:r>
              <w:rPr>
                <w:iCs/>
                <w:color w:val="FF0000"/>
                <w:sz w:val="20"/>
                <w:szCs w:val="20"/>
              </w:rPr>
              <w:t xml:space="preserve">For operation with shared spectrum channel access, </w:t>
            </w:r>
            <w:r>
              <w:rPr>
                <w:color w:val="FF0000"/>
                <w:sz w:val="20"/>
                <w:szCs w:val="20"/>
              </w:rPr>
              <w:t xml:space="preserve">all </w:t>
            </w:r>
            <w:r>
              <w:rPr>
                <w:color w:val="FF0000"/>
                <w:sz w:val="20"/>
                <w:szCs w:val="20"/>
                <w:lang w:eastAsia="zh-CN"/>
              </w:rPr>
              <w:t>PUSCH occasions</w:t>
            </w:r>
            <w:r>
              <w:rPr>
                <w:rFonts w:hint="eastAsia"/>
                <w:color w:val="FF0000"/>
                <w:sz w:val="20"/>
                <w:szCs w:val="20"/>
                <w:lang w:eastAsia="zh-CN"/>
              </w:rPr>
              <w:t xml:space="preserve"> </w:t>
            </w:r>
            <w:r>
              <w:rPr>
                <w:color w:val="FF0000"/>
                <w:sz w:val="20"/>
                <w:szCs w:val="20"/>
              </w:rPr>
              <w:t>are confined within a single RB set.</w:t>
            </w:r>
          </w:p>
          <w:p>
            <w:pPr>
              <w:widowControl w:val="0"/>
              <w:spacing w:after="0"/>
              <w:jc w:val="center"/>
              <w:rPr>
                <w:color w:val="FF0000"/>
                <w:sz w:val="20"/>
                <w:szCs w:val="20"/>
              </w:rPr>
            </w:pPr>
            <w:r>
              <w:rPr>
                <w:color w:val="FF0000"/>
                <w:sz w:val="20"/>
                <w:szCs w:val="20"/>
              </w:rPr>
              <w:t>*** Unchanged text omitted ***</w:t>
            </w:r>
          </w:p>
          <w:p>
            <w:pPr>
              <w:widowControl w:val="0"/>
              <w:rPr>
                <w:sz w:val="20"/>
                <w:szCs w:val="20"/>
              </w:rPr>
            </w:pPr>
            <w:r>
              <w:rPr>
                <w:sz w:val="20"/>
                <w:szCs w:val="20"/>
              </w:rPr>
              <w:t>======================== End of TP1</w:t>
            </w:r>
            <w:r>
              <w:rPr>
                <w:rFonts w:hint="eastAsia"/>
                <w:sz w:val="20"/>
                <w:szCs w:val="20"/>
                <w:lang w:eastAsia="zh-CN"/>
              </w:rPr>
              <w:t>a</w:t>
            </w:r>
            <w:r>
              <w:rPr>
                <w:sz w:val="20"/>
                <w:szCs w:val="20"/>
              </w:rPr>
              <w:t xml:space="preserve"> ===============================</w:t>
            </w:r>
          </w:p>
        </w:tc>
      </w:tr>
    </w:tbl>
    <w:p>
      <w:pPr>
        <w:pStyle w:val="56"/>
        <w:ind w:left="0"/>
      </w:pPr>
    </w:p>
    <w:tbl>
      <w:tblPr>
        <w:tblStyle w:val="3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after="0"/>
              <w:rPr>
                <w:b/>
                <w:sz w:val="20"/>
                <w:szCs w:val="20"/>
                <w:u w:val="single"/>
                <w:lang w:eastAsia="zh-CN"/>
              </w:rPr>
            </w:pPr>
            <w:r>
              <w:rPr>
                <w:b/>
                <w:sz w:val="20"/>
                <w:szCs w:val="20"/>
                <w:u w:val="single"/>
                <w:lang w:eastAsia="zh-CN"/>
              </w:rPr>
              <w:t>Reasons for change</w:t>
            </w:r>
          </w:p>
          <w:p>
            <w:pPr>
              <w:widowControl w:val="0"/>
              <w:spacing w:after="0"/>
              <w:rPr>
                <w:sz w:val="20"/>
                <w:szCs w:val="20"/>
                <w:lang w:eastAsia="zh-CN"/>
              </w:rPr>
            </w:pPr>
            <w:r>
              <w:rPr>
                <w:sz w:val="20"/>
                <w:szCs w:val="20"/>
              </w:rPr>
              <w:t>To capture the agreement in the specification</w:t>
            </w:r>
          </w:p>
          <w:p>
            <w:pPr>
              <w:widowControl w:val="0"/>
              <w:spacing w:after="0"/>
              <w:rPr>
                <w:b/>
                <w:sz w:val="20"/>
                <w:szCs w:val="20"/>
                <w:u w:val="single"/>
                <w:lang w:eastAsia="zh-CN"/>
              </w:rPr>
            </w:pPr>
            <w:r>
              <w:rPr>
                <w:b/>
                <w:sz w:val="20"/>
                <w:szCs w:val="20"/>
                <w:u w:val="single"/>
                <w:lang w:eastAsia="zh-CN"/>
              </w:rPr>
              <w:t>Summary of changes</w:t>
            </w:r>
          </w:p>
          <w:p>
            <w:pPr>
              <w:pStyle w:val="166"/>
              <w:widowControl w:val="0"/>
              <w:autoSpaceDE w:val="0"/>
              <w:autoSpaceDN w:val="0"/>
              <w:adjustRightInd w:val="0"/>
              <w:snapToGrid w:val="0"/>
              <w:spacing w:after="0"/>
              <w:jc w:val="both"/>
              <w:rPr>
                <w:rFonts w:ascii="Times New Roman" w:hAnsi="Times New Roman" w:cs="Times New Roman"/>
                <w:sz w:val="20"/>
                <w:szCs w:val="20"/>
              </w:rPr>
            </w:pPr>
            <w:r>
              <w:rPr>
                <w:sz w:val="20"/>
                <w:szCs w:val="20"/>
              </w:rPr>
              <w:t>All msgA PUSCH occasions and the associated msgA RACH occasions are confined within a single RB set</w:t>
            </w:r>
          </w:p>
          <w:p>
            <w:pPr>
              <w:widowControl w:val="0"/>
              <w:spacing w:after="0"/>
              <w:rPr>
                <w:b/>
                <w:sz w:val="20"/>
                <w:szCs w:val="20"/>
                <w:u w:val="single"/>
                <w:lang w:eastAsia="zh-CN"/>
              </w:rPr>
            </w:pPr>
            <w:r>
              <w:rPr>
                <w:b/>
                <w:sz w:val="20"/>
                <w:szCs w:val="20"/>
                <w:u w:val="single"/>
                <w:lang w:eastAsia="zh-CN"/>
              </w:rPr>
              <w:t>Specs/Sections impacted</w:t>
            </w:r>
          </w:p>
          <w:p>
            <w:pPr>
              <w:widowControl w:val="0"/>
              <w:spacing w:after="0"/>
              <w:rPr>
                <w:sz w:val="20"/>
                <w:szCs w:val="20"/>
                <w:lang w:eastAsia="zh-CN"/>
              </w:rPr>
            </w:pPr>
            <w:r>
              <w:rPr>
                <w:sz w:val="20"/>
                <w:szCs w:val="20"/>
                <w:lang w:eastAsia="zh-CN"/>
              </w:rPr>
              <w:t>TS 38.213, Section 8.1A</w:t>
            </w:r>
          </w:p>
          <w:p>
            <w:pPr>
              <w:widowControl w:val="0"/>
              <w:spacing w:after="0"/>
              <w:rPr>
                <w:b/>
                <w:bCs/>
                <w:sz w:val="20"/>
                <w:szCs w:val="20"/>
                <w:u w:val="single"/>
              </w:rPr>
            </w:pPr>
            <w:r>
              <w:rPr>
                <w:b/>
                <w:bCs/>
                <w:sz w:val="20"/>
                <w:szCs w:val="20"/>
                <w:u w:val="single"/>
              </w:rPr>
              <w:t>Consequences if not approved:</w:t>
            </w:r>
          </w:p>
          <w:p>
            <w:pPr>
              <w:widowControl w:val="0"/>
              <w:spacing w:after="0"/>
            </w:pPr>
            <w:r>
              <w:rPr>
                <w:rFonts w:hint="eastAsia"/>
                <w:sz w:val="20"/>
                <w:szCs w:val="20"/>
              </w:rPr>
              <w:t>MsgA PUSCH</w:t>
            </w:r>
            <w:r>
              <w:rPr>
                <w:sz w:val="20"/>
                <w:szCs w:val="20"/>
              </w:rPr>
              <w:t xml:space="preserve"> may across</w:t>
            </w:r>
            <w:r>
              <w:rPr>
                <w:rFonts w:hint="eastAsia"/>
                <w:sz w:val="20"/>
                <w:szCs w:val="20"/>
              </w:rPr>
              <w:t xml:space="preserve"> multiple RB sets</w:t>
            </w:r>
          </w:p>
          <w:p>
            <w:pPr>
              <w:widowControl w:val="0"/>
              <w:spacing w:after="0"/>
              <w:rPr>
                <w:sz w:val="20"/>
                <w:szCs w:val="20"/>
              </w:rPr>
            </w:pPr>
            <w:r>
              <w:rPr>
                <w:sz w:val="20"/>
                <w:szCs w:val="20"/>
              </w:rPr>
              <w:t>======================== Start of TP1</w:t>
            </w:r>
            <w:r>
              <w:rPr>
                <w:rFonts w:hint="eastAsia"/>
                <w:sz w:val="20"/>
                <w:szCs w:val="20"/>
                <w:lang w:eastAsia="zh-CN"/>
              </w:rPr>
              <w:t>b</w:t>
            </w:r>
            <w:r>
              <w:rPr>
                <w:sz w:val="20"/>
                <w:szCs w:val="20"/>
              </w:rPr>
              <w:t xml:space="preserve"> for TS 38.213 ===============================</w:t>
            </w:r>
          </w:p>
          <w:p>
            <w:pPr>
              <w:widowControl w:val="0"/>
              <w:spacing w:after="0" w:line="288" w:lineRule="auto"/>
              <w:rPr>
                <w:rFonts w:ascii="Arial" w:hAnsi="Arial" w:eastAsia="宋体" w:cs="Arial"/>
                <w:sz w:val="24"/>
                <w:lang w:eastAsia="zh-CN"/>
              </w:rPr>
            </w:pPr>
            <w:r>
              <w:rPr>
                <w:rFonts w:ascii="Arial" w:hAnsi="Arial" w:eastAsia="宋体" w:cs="Arial"/>
                <w:sz w:val="24"/>
                <w:lang w:eastAsia="zh-CN"/>
              </w:rPr>
              <w:t xml:space="preserve">8.1A PUSCH for Type-2 random access procedure </w:t>
            </w:r>
          </w:p>
          <w:p>
            <w:pPr>
              <w:widowControl w:val="0"/>
              <w:spacing w:after="0"/>
              <w:jc w:val="center"/>
              <w:rPr>
                <w:color w:val="FF0000"/>
                <w:sz w:val="20"/>
                <w:szCs w:val="20"/>
              </w:rPr>
            </w:pPr>
            <w:r>
              <w:rPr>
                <w:color w:val="FF0000"/>
                <w:sz w:val="20"/>
                <w:szCs w:val="20"/>
              </w:rPr>
              <w:t>*** Unchanged text omitted ***</w:t>
            </w:r>
          </w:p>
          <w:p>
            <w:pPr>
              <w:widowControl w:val="0"/>
              <w:autoSpaceDE/>
              <w:autoSpaceDN/>
              <w:adjustRightInd/>
              <w:snapToGrid/>
              <w:spacing w:after="180"/>
              <w:jc w:val="left"/>
              <w:rPr>
                <w:rFonts w:eastAsia="MS Mincho"/>
                <w:sz w:val="20"/>
                <w:szCs w:val="20"/>
              </w:rPr>
            </w:pPr>
            <w:r>
              <w:rPr>
                <w:rFonts w:eastAsia="宋体" w:cs="Times"/>
                <w:sz w:val="20"/>
                <w:szCs w:val="20"/>
                <w:lang w:val="en-GB"/>
              </w:rPr>
              <w:t xml:space="preserve">A UE determines a first interlace or first RB for a first PUSCH occasion in an active UL BWP respectively from </w:t>
            </w:r>
            <w:r>
              <w:rPr>
                <w:rFonts w:eastAsia="宋体"/>
                <w:i/>
                <w:iCs/>
                <w:sz w:val="20"/>
                <w:szCs w:val="20"/>
                <w:lang w:val="en-GB"/>
              </w:rPr>
              <w:t>interlaceIndexFirstPO-MsgA-PUSCH</w:t>
            </w:r>
            <w:r>
              <w:rPr>
                <w:rFonts w:eastAsia="宋体" w:cs="Times"/>
                <w:sz w:val="20"/>
                <w:szCs w:val="20"/>
                <w:lang w:val="en-GB"/>
              </w:rPr>
              <w:t xml:space="preserve"> or from </w:t>
            </w:r>
            <w:r>
              <w:rPr>
                <w:rFonts w:eastAsia="宋体"/>
                <w:i/>
                <w:iCs/>
                <w:sz w:val="20"/>
                <w:szCs w:val="20"/>
                <w:lang w:val="en-GB"/>
              </w:rPr>
              <w:t>frequencyStartMsgA-PUSCH</w:t>
            </w:r>
            <w:r>
              <w:rPr>
                <w:rFonts w:eastAsia="宋体"/>
                <w:iCs/>
                <w:sz w:val="20"/>
                <w:szCs w:val="20"/>
                <w:lang w:val="en-GB"/>
              </w:rPr>
              <w:t xml:space="preserve"> that provides an offset, in number of RBs in the active UL BWP, </w:t>
            </w:r>
            <w:r>
              <w:rPr>
                <w:rFonts w:eastAsia="宋体" w:cs="Times"/>
                <w:sz w:val="20"/>
                <w:szCs w:val="20"/>
                <w:lang w:val="en-GB"/>
              </w:rPr>
              <w:t xml:space="preserve">from </w:t>
            </w:r>
            <w:r>
              <w:rPr>
                <w:rFonts w:eastAsia="宋体" w:cs="Times"/>
                <w:sz w:val="20"/>
                <w:szCs w:val="20"/>
              </w:rPr>
              <w:t>a first</w:t>
            </w:r>
            <w:r>
              <w:rPr>
                <w:rFonts w:eastAsia="宋体" w:cs="Times"/>
                <w:sz w:val="20"/>
                <w:szCs w:val="20"/>
                <w:lang w:val="en-GB"/>
              </w:rPr>
              <w:t xml:space="preserve"> RB of the active UL BWP. A PUSCH occasion includes a number of interlaces or a number of RBs provided by </w:t>
            </w:r>
            <w:r>
              <w:rPr>
                <w:rFonts w:eastAsia="宋体"/>
                <w:i/>
                <w:iCs/>
                <w:sz w:val="20"/>
                <w:szCs w:val="20"/>
                <w:lang w:val="en-GB"/>
              </w:rPr>
              <w:t>nrofInterlacesPerMsgA-PO</w:t>
            </w:r>
            <w:r>
              <w:rPr>
                <w:rFonts w:eastAsia="宋体" w:cs="Times"/>
                <w:sz w:val="20"/>
                <w:szCs w:val="20"/>
                <w:lang w:val="en-GB"/>
              </w:rPr>
              <w:t xml:space="preserve"> or by </w:t>
            </w:r>
            <w:r>
              <w:rPr>
                <w:rFonts w:eastAsia="宋体"/>
                <w:i/>
                <w:iCs/>
                <w:sz w:val="20"/>
                <w:szCs w:val="20"/>
                <w:lang w:val="en-GB"/>
              </w:rPr>
              <w:t>nrofPRBs-</w:t>
            </w:r>
            <w:r>
              <w:rPr>
                <w:rFonts w:hint="eastAsia" w:eastAsia="宋体"/>
                <w:i/>
                <w:iCs/>
                <w:sz w:val="20"/>
                <w:szCs w:val="20"/>
                <w:lang w:val="en-GB"/>
              </w:rPr>
              <w:t>per</w:t>
            </w:r>
            <w:r>
              <w:rPr>
                <w:rFonts w:eastAsia="宋体"/>
                <w:i/>
                <w:iCs/>
                <w:sz w:val="20"/>
                <w:szCs w:val="20"/>
                <w:lang w:val="en-GB"/>
              </w:rPr>
              <w:t>MsgA-PO</w:t>
            </w:r>
            <w:r>
              <w:rPr>
                <w:rFonts w:eastAsia="宋体"/>
                <w:iCs/>
                <w:sz w:val="20"/>
                <w:szCs w:val="20"/>
                <w:lang w:val="en-GB"/>
              </w:rPr>
              <w:t xml:space="preserve">, respectively. Consecutive PUSCH occasions in the frequency domain of an UL BWP are separated by a number of RBs provided by </w:t>
            </w:r>
            <w:r>
              <w:rPr>
                <w:rFonts w:eastAsia="宋体"/>
                <w:i/>
                <w:iCs/>
                <w:sz w:val="20"/>
                <w:szCs w:val="20"/>
                <w:lang w:val="en-GB"/>
              </w:rPr>
              <w:t>g</w:t>
            </w:r>
            <w:r>
              <w:rPr>
                <w:rFonts w:hint="eastAsia" w:eastAsia="宋体"/>
                <w:i/>
                <w:iCs/>
                <w:sz w:val="20"/>
                <w:szCs w:val="20"/>
                <w:lang w:val="en-GB"/>
              </w:rPr>
              <w:t>uardBandM</w:t>
            </w:r>
            <w:r>
              <w:rPr>
                <w:rFonts w:eastAsia="宋体"/>
                <w:i/>
                <w:iCs/>
                <w:sz w:val="20"/>
                <w:szCs w:val="20"/>
                <w:lang w:val="en-GB"/>
              </w:rPr>
              <w:t>sgA-PUSCH</w:t>
            </w:r>
            <w:r>
              <w:rPr>
                <w:rFonts w:eastAsia="宋体"/>
                <w:iCs/>
                <w:sz w:val="20"/>
                <w:szCs w:val="20"/>
                <w:lang w:val="en-GB"/>
              </w:rPr>
              <w:t xml:space="preserve">. A number </w:t>
            </w:r>
            <m:oMath>
              <m:sSub>
                <m:sSubPr>
                  <m:ctrlPr>
                    <w:rPr>
                      <w:rFonts w:ascii="Cambria Math" w:hAnsi="Cambria Math" w:eastAsia="等线"/>
                      <w:b/>
                      <w:i/>
                      <w:sz w:val="24"/>
                      <w:szCs w:val="24"/>
                    </w:rPr>
                  </m:ctrlPr>
                </m:sSubPr>
                <m:e>
                  <m:r>
                    <w:rPr>
                      <w:rFonts w:ascii="Cambria Math" w:hAnsi="Cambria Math" w:eastAsia="等线"/>
                    </w:rPr>
                    <m:t>N</m:t>
                  </m:r>
                  <m:ctrlPr>
                    <w:rPr>
                      <w:rFonts w:ascii="Cambria Math" w:hAnsi="Cambria Math" w:eastAsia="等线"/>
                      <w:b/>
                      <w:i/>
                      <w:sz w:val="24"/>
                      <w:szCs w:val="24"/>
                    </w:rPr>
                  </m:ctrlPr>
                </m:e>
                <m:sub>
                  <m:r>
                    <w:rPr>
                      <w:rFonts w:ascii="Cambria Math" w:hAnsi="Cambria Math" w:eastAsia="等线"/>
                    </w:rPr>
                    <m:t>f</m:t>
                  </m:r>
                  <m:ctrlPr>
                    <w:rPr>
                      <w:rFonts w:ascii="Cambria Math" w:hAnsi="Cambria Math" w:eastAsia="等线"/>
                      <w:b/>
                      <w:i/>
                      <w:sz w:val="24"/>
                      <w:szCs w:val="24"/>
                    </w:rPr>
                  </m:ctrlPr>
                </m:sub>
              </m:sSub>
              <m:r>
                <m:rPr>
                  <m:sty m:val="bi"/>
                </m:rPr>
                <w:rPr>
                  <w:rFonts w:ascii="Cambria Math" w:hAnsi="Cambria Math" w:eastAsia="等线"/>
                </w:rPr>
                <m:t xml:space="preserve"> </m:t>
              </m:r>
            </m:oMath>
            <w:r>
              <w:rPr>
                <w:rFonts w:eastAsia="宋体"/>
                <w:iCs/>
                <w:sz w:val="20"/>
                <w:szCs w:val="20"/>
                <w:lang w:val="en-GB"/>
              </w:rPr>
              <w:t xml:space="preserve">of PUSCH occasions in the frequency domain of an UL BWP is provided by </w:t>
            </w:r>
            <w:r>
              <w:rPr>
                <w:rFonts w:eastAsia="宋体"/>
                <w:i/>
                <w:iCs/>
                <w:sz w:val="20"/>
                <w:szCs w:val="20"/>
                <w:lang w:val="en-GB" w:eastAsia="zh-CN"/>
              </w:rPr>
              <w:t>nrofMsgA-PO-FDM</w:t>
            </w:r>
            <w:r>
              <w:rPr>
                <w:rFonts w:eastAsia="宋体"/>
                <w:iCs/>
                <w:sz w:val="20"/>
                <w:szCs w:val="20"/>
                <w:lang w:val="en-GB"/>
              </w:rPr>
              <w:t xml:space="preserve">. </w:t>
            </w:r>
            <w:r>
              <w:rPr>
                <w:iCs/>
                <w:color w:val="FF0000"/>
                <w:sz w:val="20"/>
                <w:szCs w:val="20"/>
              </w:rPr>
              <w:t xml:space="preserve">For operation with shared spectrum channel access, </w:t>
            </w:r>
            <w:r>
              <w:rPr>
                <w:color w:val="FF0000"/>
                <w:sz w:val="20"/>
                <w:szCs w:val="20"/>
              </w:rPr>
              <w:t xml:space="preserve">all </w:t>
            </w:r>
            <w:r>
              <w:rPr>
                <w:color w:val="FF0000"/>
                <w:sz w:val="20"/>
                <w:szCs w:val="20"/>
                <w:lang w:eastAsia="zh-CN"/>
              </w:rPr>
              <w:t>PUSCH occasions and the associated RACH occasions</w:t>
            </w:r>
            <w:r>
              <w:rPr>
                <w:color w:val="FF0000"/>
                <w:sz w:val="20"/>
                <w:szCs w:val="20"/>
              </w:rPr>
              <w:t xml:space="preserve"> are confined within a single RB set.</w:t>
            </w:r>
          </w:p>
          <w:p>
            <w:pPr>
              <w:widowControl w:val="0"/>
              <w:spacing w:after="0"/>
              <w:jc w:val="center"/>
              <w:rPr>
                <w:color w:val="FF0000"/>
                <w:sz w:val="20"/>
                <w:szCs w:val="20"/>
              </w:rPr>
            </w:pPr>
            <w:r>
              <w:rPr>
                <w:color w:val="FF0000"/>
                <w:sz w:val="20"/>
                <w:szCs w:val="20"/>
              </w:rPr>
              <w:t>*** Unchanged text omitted ***</w:t>
            </w:r>
          </w:p>
          <w:p>
            <w:pPr>
              <w:widowControl w:val="0"/>
              <w:rPr>
                <w:sz w:val="20"/>
                <w:szCs w:val="20"/>
              </w:rPr>
            </w:pPr>
            <w:r>
              <w:rPr>
                <w:sz w:val="20"/>
                <w:szCs w:val="20"/>
              </w:rPr>
              <w:t>======================== End of TP1</w:t>
            </w:r>
            <w:r>
              <w:rPr>
                <w:rFonts w:hint="eastAsia"/>
                <w:sz w:val="20"/>
                <w:szCs w:val="20"/>
                <w:lang w:eastAsia="zh-CN"/>
              </w:rPr>
              <w:t>b</w:t>
            </w:r>
            <w:r>
              <w:rPr>
                <w:sz w:val="20"/>
                <w:szCs w:val="20"/>
              </w:rPr>
              <w:t xml:space="preserve"> ===============================</w:t>
            </w:r>
          </w:p>
        </w:tc>
      </w:tr>
    </w:tbl>
    <w:p>
      <w:pPr>
        <w:spacing w:after="0"/>
        <w:rPr>
          <w:sz w:val="20"/>
        </w:rPr>
      </w:pPr>
    </w:p>
    <w:p>
      <w:pPr>
        <w:pStyle w:val="2"/>
        <w:rPr>
          <w:rFonts w:hint="eastAsia"/>
          <w:lang w:eastAsia="zh-CN"/>
        </w:rPr>
      </w:pPr>
      <w:r>
        <w:rPr>
          <w:rFonts w:hint="eastAsia"/>
          <w:lang w:val="en-US" w:eastAsia="zh-CN"/>
        </w:rPr>
        <w:t>Merge the determination of QCL and SSB index</w:t>
      </w:r>
    </w:p>
    <w:p>
      <w:pPr>
        <w:spacing w:after="0"/>
        <w:rPr>
          <w:sz w:val="20"/>
        </w:rPr>
      </w:pPr>
    </w:p>
    <w:p>
      <w:pPr>
        <w:spacing w:line="260" w:lineRule="auto"/>
        <w:jc w:val="both"/>
      </w:pPr>
      <w:r>
        <w:t>RAN</w:t>
      </w:r>
      <w:r>
        <w:rPr>
          <w:rFonts w:hint="eastAsia" w:eastAsia="宋体"/>
          <w:lang w:val="en-US" w:eastAsia="zh-CN"/>
        </w:rPr>
        <w:t xml:space="preserve">1 </w:t>
      </w:r>
      <w:r>
        <w:t xml:space="preserve">has made the following agreements related to the candidate SS/PBCH block index and SS/PBCH block index for NR-U: </w:t>
      </w:r>
    </w:p>
    <w:tbl>
      <w:tblPr>
        <w:tblStyle w:val="39"/>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0" w:type="dxa"/>
          </w:tcPr>
          <w:p>
            <w:pPr>
              <w:widowControl w:val="0"/>
              <w:spacing w:line="288" w:lineRule="auto"/>
              <w:contextualSpacing/>
              <w:rPr>
                <w:sz w:val="21"/>
                <w:szCs w:val="22"/>
                <w:highlight w:val="green"/>
              </w:rPr>
            </w:pPr>
            <w:r>
              <w:rPr>
                <w:sz w:val="21"/>
                <w:szCs w:val="22"/>
                <w:highlight w:val="green"/>
              </w:rPr>
              <w:t>Agreement:</w:t>
            </w:r>
          </w:p>
          <w:p>
            <w:pPr>
              <w:widowControl w:val="0"/>
              <w:spacing w:after="0"/>
              <w:jc w:val="both"/>
              <w:rPr>
                <w:lang w:eastAsia="ja-JP"/>
              </w:rPr>
            </w:pPr>
            <w:r>
              <w:t xml:space="preserve">For a cell (either serving or a neighbour cell), </w:t>
            </w:r>
            <w:r>
              <w:rPr>
                <w:lang w:eastAsia="ja-JP"/>
              </w:rPr>
              <w:t>UE may assume a QCL relation between SS/PBCH blocks within or across DRS transmission or measurement windows that have the same value of modulo(A, Q), once Q is known to the UE</w:t>
            </w:r>
          </w:p>
          <w:p>
            <w:pPr>
              <w:widowControl w:val="0"/>
              <w:numPr>
                <w:ilvl w:val="0"/>
                <w:numId w:val="12"/>
              </w:numPr>
              <w:spacing w:after="0"/>
              <w:jc w:val="both"/>
              <w:rPr>
                <w:lang w:eastAsia="ja-JP"/>
              </w:rPr>
            </w:pPr>
            <w:r>
              <w:t>A is the PBCH DMRS sequence index</w:t>
            </w:r>
            <w:r>
              <w:rPr>
                <w:lang w:eastAsia="ja-JP"/>
              </w:rPr>
              <w:t>.</w:t>
            </w:r>
          </w:p>
          <w:p>
            <w:pPr>
              <w:widowControl w:val="0"/>
              <w:numPr>
                <w:ilvl w:val="0"/>
                <w:numId w:val="12"/>
              </w:numPr>
              <w:spacing w:after="0"/>
              <w:jc w:val="both"/>
            </w:pPr>
            <w:r>
              <w:t>Note: This agreement extends a prior agreement for serving cells on QCL relation between SS/PBCH blocks to neighbour cells</w:t>
            </w:r>
          </w:p>
          <w:p>
            <w:pPr>
              <w:widowControl w:val="0"/>
              <w:spacing w:after="0"/>
              <w:jc w:val="both"/>
            </w:pPr>
          </w:p>
          <w:p>
            <w:pPr>
              <w:widowControl w:val="0"/>
              <w:spacing w:line="288" w:lineRule="auto"/>
              <w:contextualSpacing/>
              <w:rPr>
                <w:sz w:val="21"/>
                <w:szCs w:val="22"/>
                <w:highlight w:val="green"/>
                <w:lang w:eastAsia="zh-CN"/>
              </w:rPr>
            </w:pPr>
            <w:r>
              <w:rPr>
                <w:sz w:val="21"/>
                <w:szCs w:val="22"/>
                <w:highlight w:val="green"/>
                <w:lang w:eastAsia="zh-CN"/>
              </w:rPr>
              <w:t>Agreement:</w:t>
            </w:r>
          </w:p>
          <w:p>
            <w:pPr>
              <w:pStyle w:val="56"/>
              <w:widowControl w:val="0"/>
              <w:ind w:left="0"/>
              <w:jc w:val="both"/>
              <w:rPr>
                <w:sz w:val="20"/>
                <w:szCs w:val="20"/>
              </w:rPr>
            </w:pPr>
            <w:r>
              <w:rPr>
                <w:sz w:val="20"/>
                <w:szCs w:val="20"/>
              </w:rPr>
              <w:t>RAN1 recommends the following terminology to be used consistently across RAN1 (and RAN2/RAN4) specifications for operation with shared spectrum channel access:</w:t>
            </w:r>
          </w:p>
          <w:p>
            <w:pPr>
              <w:widowControl w:val="0"/>
              <w:numPr>
                <w:ilvl w:val="0"/>
                <w:numId w:val="12"/>
              </w:numPr>
              <w:spacing w:after="0"/>
              <w:jc w:val="both"/>
            </w:pPr>
            <w:r>
              <w:t>“SS/PBCH block index” can be expressed as modulo(PBCH DMRS sequence index, Q) or modulo(Candidate SS/PBCH block index, Q)</w:t>
            </w:r>
          </w:p>
          <w:p>
            <w:pPr>
              <w:widowControl w:val="0"/>
              <w:numPr>
                <w:ilvl w:val="1"/>
                <w:numId w:val="12"/>
              </w:numPr>
              <w:spacing w:after="0"/>
              <w:jc w:val="both"/>
            </w:pPr>
            <w:r>
              <w:t>Note: These two modulo operations yield the same result and which index should be applied depends on the specific scenario</w:t>
            </w:r>
          </w:p>
          <w:p>
            <w:pPr>
              <w:widowControl w:val="0"/>
              <w:numPr>
                <w:ilvl w:val="1"/>
                <w:numId w:val="12"/>
              </w:numPr>
              <w:spacing w:after="0"/>
              <w:jc w:val="both"/>
            </w:pPr>
            <w:r>
              <w:t>Note: This is applicable for cases in the specification where “SS/PBCH block” instead of “SS/PBCH block index”</w:t>
            </w:r>
          </w:p>
          <w:p>
            <w:pPr>
              <w:widowControl w:val="0"/>
              <w:numPr>
                <w:ilvl w:val="0"/>
                <w:numId w:val="12"/>
              </w:numPr>
              <w:spacing w:after="0"/>
              <w:jc w:val="both"/>
            </w:pPr>
            <w:r>
              <w:t>“Candidate SS/PBCH block index” within a DRS transmission window was previously agreed in RAN1</w:t>
            </w:r>
          </w:p>
          <w:p>
            <w:pPr>
              <w:widowControl w:val="0"/>
              <w:numPr>
                <w:ilvl w:val="0"/>
                <w:numId w:val="12"/>
              </w:numPr>
              <w:spacing w:after="0"/>
              <w:jc w:val="both"/>
            </w:pPr>
            <w:r>
              <w:t>Include this agreement in an LS to RAN2/RAN4</w:t>
            </w:r>
          </w:p>
        </w:tc>
      </w:tr>
    </w:tbl>
    <w:p>
      <w:pPr>
        <w:snapToGrid w:val="0"/>
        <w:spacing w:before="240" w:beforeLines="100" w:line="240" w:lineRule="auto"/>
        <w:jc w:val="both"/>
        <w:rPr>
          <w:rFonts w:eastAsia="宋体"/>
          <w:lang w:val="en-US" w:eastAsia="zh-CN"/>
        </w:rPr>
      </w:pPr>
      <w:r>
        <w:rPr>
          <w:rFonts w:eastAsia="宋体"/>
          <w:lang w:val="en-US" w:eastAsia="zh-CN"/>
        </w:rPr>
        <w:t xml:space="preserve">From the above </w:t>
      </w:r>
      <w:r>
        <w:rPr>
          <w:rFonts w:hint="eastAsia" w:eastAsia="宋体"/>
          <w:lang w:val="en-US" w:eastAsia="zh-CN"/>
        </w:rPr>
        <w:t>agreements and current TS 38.213 V16.3.0</w:t>
      </w:r>
      <w:r>
        <w:rPr>
          <w:rFonts w:eastAsia="宋体"/>
          <w:lang w:val="en-US" w:eastAsia="zh-CN"/>
        </w:rPr>
        <w:t xml:space="preserve">, it can be seen that the calculation </w:t>
      </w:r>
      <w:r>
        <w:rPr>
          <w:rFonts w:hint="eastAsia" w:eastAsia="宋体"/>
          <w:lang w:val="en-US" w:eastAsia="zh-CN"/>
        </w:rPr>
        <w:t xml:space="preserve">process </w:t>
      </w:r>
      <w:r>
        <w:rPr>
          <w:rFonts w:eastAsia="宋体"/>
          <w:lang w:val="en-US" w:eastAsia="zh-CN"/>
        </w:rPr>
        <w:t>of SSB index covers QCL</w:t>
      </w:r>
      <w:r>
        <w:rPr>
          <w:rFonts w:hint="eastAsia" w:eastAsia="宋体"/>
          <w:lang w:val="en-US" w:eastAsia="zh-CN"/>
        </w:rPr>
        <w:t xml:space="preserve"> determination process only relying on </w:t>
      </w:r>
      <w:r>
        <w:t>(PBCH DMRS sequence index, Q)</w:t>
      </w:r>
      <w:r>
        <w:rPr>
          <w:rFonts w:eastAsia="宋体"/>
          <w:lang w:val="en-US" w:eastAsia="zh-CN"/>
        </w:rPr>
        <w:t xml:space="preserve">. In fact, if </w:t>
      </w:r>
      <w:r>
        <w:rPr>
          <w:rFonts w:hint="eastAsia" w:eastAsia="宋体"/>
          <w:lang w:val="en-US" w:eastAsia="zh-CN"/>
        </w:rPr>
        <w:t xml:space="preserve">the </w:t>
      </w:r>
      <w:r>
        <w:rPr>
          <w:rFonts w:eastAsia="宋体"/>
          <w:lang w:val="en-US" w:eastAsia="zh-CN"/>
        </w:rPr>
        <w:t xml:space="preserve">SSBs </w:t>
      </w:r>
      <w:r>
        <w:t xml:space="preserve">that are within a same </w:t>
      </w:r>
      <w:r>
        <w:rPr>
          <w:rFonts w:hint="eastAsia" w:eastAsia="宋体"/>
          <w:lang w:val="en-US" w:eastAsia="zh-CN"/>
        </w:rPr>
        <w:t>DRS</w:t>
      </w:r>
      <w:r>
        <w:t xml:space="preserve"> transmission window or across </w:t>
      </w:r>
      <w:r>
        <w:rPr>
          <w:rFonts w:hint="eastAsia" w:eastAsia="宋体"/>
          <w:lang w:val="en-US" w:eastAsia="zh-CN"/>
        </w:rPr>
        <w:t>DRS</w:t>
      </w:r>
      <w:r>
        <w:t xml:space="preserve"> transmission windows</w:t>
      </w:r>
      <w:r>
        <w:rPr>
          <w:rFonts w:hint="eastAsia" w:eastAsia="宋体"/>
          <w:lang w:val="en-US" w:eastAsia="zh-CN"/>
        </w:rPr>
        <w:t xml:space="preserve"> </w:t>
      </w:r>
      <w:r>
        <w:rPr>
          <w:rFonts w:eastAsia="宋体"/>
          <w:lang w:val="en-US" w:eastAsia="zh-CN"/>
        </w:rPr>
        <w:t xml:space="preserve">have the same SSB index, </w:t>
      </w:r>
      <w:r>
        <w:rPr>
          <w:rFonts w:hint="eastAsia" w:eastAsia="宋体"/>
          <w:lang w:val="en-US" w:eastAsia="zh-CN"/>
        </w:rPr>
        <w:t xml:space="preserve">it can be inferred that </w:t>
      </w:r>
      <w:r>
        <w:rPr>
          <w:rFonts w:eastAsia="宋体"/>
          <w:lang w:val="en-US" w:eastAsia="zh-CN"/>
        </w:rPr>
        <w:t xml:space="preserve">they have same QCL relationship. </w:t>
      </w:r>
    </w:p>
    <w:p>
      <w:pPr>
        <w:snapToGrid w:val="0"/>
        <w:spacing w:line="240" w:lineRule="auto"/>
        <w:jc w:val="both"/>
        <w:rPr>
          <w:rFonts w:eastAsia="宋体"/>
          <w:lang w:val="en-US" w:eastAsia="zh-CN"/>
        </w:rPr>
      </w:pPr>
      <w:r>
        <w:rPr>
          <w:rFonts w:eastAsia="宋体"/>
          <w:lang w:val="en-US" w:eastAsia="zh-CN"/>
        </w:rPr>
        <w:t xml:space="preserve">In the current </w:t>
      </w:r>
      <w:r>
        <w:rPr>
          <w:rFonts w:hint="eastAsia" w:eastAsia="宋体"/>
          <w:lang w:val="en-US" w:eastAsia="zh-CN"/>
        </w:rPr>
        <w:t>TS 38.</w:t>
      </w:r>
      <w:r>
        <w:rPr>
          <w:rFonts w:eastAsia="宋体"/>
          <w:lang w:val="en-US" w:eastAsia="zh-CN"/>
        </w:rPr>
        <w:t xml:space="preserve">213, </w:t>
      </w:r>
      <w:r>
        <w:rPr>
          <w:rFonts w:hint="eastAsia" w:eastAsia="宋体"/>
          <w:lang w:val="en-US" w:eastAsia="zh-CN"/>
        </w:rPr>
        <w:t>38.</w:t>
      </w:r>
      <w:r>
        <w:rPr>
          <w:rFonts w:eastAsia="宋体"/>
          <w:lang w:val="en-US" w:eastAsia="zh-CN"/>
        </w:rPr>
        <w:t xml:space="preserve">214 and </w:t>
      </w:r>
      <w:r>
        <w:rPr>
          <w:rFonts w:hint="eastAsia" w:eastAsia="宋体"/>
          <w:lang w:val="en-US" w:eastAsia="zh-CN"/>
        </w:rPr>
        <w:t>38.</w:t>
      </w:r>
      <w:r>
        <w:rPr>
          <w:rFonts w:eastAsia="宋体"/>
          <w:lang w:val="en-US" w:eastAsia="zh-CN"/>
        </w:rPr>
        <w:t xml:space="preserve">331 </w:t>
      </w:r>
      <w:r>
        <w:rPr>
          <w:rFonts w:hint="eastAsia" w:eastAsia="宋体"/>
          <w:lang w:val="en-US" w:eastAsia="zh-CN"/>
        </w:rPr>
        <w:t>specifications</w:t>
      </w:r>
      <w:r>
        <w:rPr>
          <w:rFonts w:eastAsia="宋体"/>
          <w:lang w:val="en-US" w:eastAsia="zh-CN"/>
        </w:rPr>
        <w:t xml:space="preserve">, </w:t>
      </w:r>
      <w:r>
        <w:rPr>
          <w:rFonts w:hint="eastAsia" w:eastAsia="宋体"/>
          <w:lang w:val="en-US" w:eastAsia="zh-CN"/>
        </w:rPr>
        <w:t xml:space="preserve">an </w:t>
      </w:r>
      <w:r>
        <w:rPr>
          <w:rFonts w:eastAsia="宋体"/>
          <w:lang w:val="en-US" w:eastAsia="zh-CN"/>
        </w:rPr>
        <w:t xml:space="preserve">SSB index is used to </w:t>
      </w:r>
      <w:r>
        <w:rPr>
          <w:rFonts w:hint="eastAsia" w:eastAsia="宋体"/>
          <w:lang w:val="en-US" w:eastAsia="zh-CN"/>
        </w:rPr>
        <w:t xml:space="preserve">represent some </w:t>
      </w:r>
      <w:r>
        <w:rPr>
          <w:rFonts w:eastAsia="宋体"/>
          <w:lang w:val="en-US" w:eastAsia="zh-CN"/>
        </w:rPr>
        <w:t>SSB</w:t>
      </w:r>
      <w:r>
        <w:rPr>
          <w:rFonts w:hint="eastAsia" w:eastAsia="宋体"/>
          <w:lang w:val="en-US" w:eastAsia="zh-CN"/>
        </w:rPr>
        <w:t>s</w:t>
      </w:r>
      <w:r>
        <w:rPr>
          <w:rFonts w:eastAsia="宋体"/>
          <w:lang w:val="en-US" w:eastAsia="zh-CN"/>
        </w:rPr>
        <w:t xml:space="preserve"> with the same QCL relationship, which is </w:t>
      </w:r>
      <w:r>
        <w:rPr>
          <w:rFonts w:hint="eastAsia" w:eastAsia="宋体"/>
          <w:lang w:val="en-US" w:eastAsia="zh-CN"/>
        </w:rPr>
        <w:t xml:space="preserve">reflected </w:t>
      </w:r>
      <w:r>
        <w:rPr>
          <w:rFonts w:eastAsia="宋体"/>
          <w:lang w:val="en-US" w:eastAsia="zh-CN"/>
        </w:rPr>
        <w:t>in rate</w:t>
      </w:r>
      <w:r>
        <w:rPr>
          <w:rFonts w:hint="eastAsia" w:eastAsia="宋体"/>
          <w:lang w:val="en-US" w:eastAsia="zh-CN"/>
        </w:rPr>
        <w:t>-</w:t>
      </w:r>
      <w:r>
        <w:rPr>
          <w:rFonts w:eastAsia="宋体"/>
          <w:lang w:val="en-US" w:eastAsia="zh-CN"/>
        </w:rPr>
        <w:t xml:space="preserve">matching, association </w:t>
      </w:r>
      <w:r>
        <w:rPr>
          <w:rFonts w:hint="eastAsia" w:eastAsia="宋体"/>
          <w:lang w:val="en-US" w:eastAsia="zh-CN"/>
        </w:rPr>
        <w:t>with other signals</w:t>
      </w:r>
      <w:r>
        <w:rPr>
          <w:rFonts w:eastAsia="宋体"/>
          <w:lang w:val="en-US" w:eastAsia="zh-CN"/>
        </w:rPr>
        <w:t xml:space="preserve"> and other aspects. </w:t>
      </w:r>
      <w:r>
        <w:rPr>
          <w:rFonts w:hint="eastAsia" w:eastAsia="宋体"/>
          <w:lang w:val="en-US" w:eastAsia="zh-CN"/>
        </w:rPr>
        <w:t>However, a</w:t>
      </w:r>
      <w:r>
        <w:rPr>
          <w:rFonts w:eastAsia="宋体"/>
          <w:lang w:val="en-US" w:eastAsia="zh-CN"/>
        </w:rPr>
        <w:t xml:space="preserve">t present, there is no clear </w:t>
      </w:r>
      <w:r>
        <w:rPr>
          <w:rFonts w:hint="eastAsia" w:eastAsia="宋体"/>
          <w:lang w:val="en-US" w:eastAsia="zh-CN"/>
        </w:rPr>
        <w:t xml:space="preserve">description on </w:t>
      </w:r>
      <w:r>
        <w:rPr>
          <w:rFonts w:eastAsia="宋体"/>
          <w:lang w:val="en-US" w:eastAsia="zh-CN"/>
        </w:rPr>
        <w:t>relationship between SSB</w:t>
      </w:r>
      <w:r>
        <w:rPr>
          <w:rFonts w:hint="eastAsia" w:eastAsia="宋体"/>
          <w:lang w:val="en-US" w:eastAsia="zh-CN"/>
        </w:rPr>
        <w:t>s</w:t>
      </w:r>
      <w:r>
        <w:rPr>
          <w:rFonts w:eastAsia="宋体"/>
          <w:lang w:val="en-US" w:eastAsia="zh-CN"/>
        </w:rPr>
        <w:t xml:space="preserve"> with </w:t>
      </w:r>
      <w:r>
        <w:rPr>
          <w:rFonts w:hint="eastAsia" w:eastAsia="宋体"/>
          <w:lang w:val="en-US" w:eastAsia="zh-CN"/>
        </w:rPr>
        <w:t xml:space="preserve">a same </w:t>
      </w:r>
      <w:r>
        <w:rPr>
          <w:rFonts w:eastAsia="宋体"/>
          <w:lang w:val="en-US" w:eastAsia="zh-CN"/>
        </w:rPr>
        <w:t xml:space="preserve">SSB index in </w:t>
      </w:r>
      <w:r>
        <w:rPr>
          <w:rFonts w:hint="eastAsia" w:eastAsia="宋体"/>
          <w:lang w:val="en-US" w:eastAsia="zh-CN"/>
        </w:rPr>
        <w:t xml:space="preserve">Clause </w:t>
      </w:r>
      <w:r>
        <w:rPr>
          <w:rFonts w:eastAsia="宋体"/>
          <w:lang w:val="en-US" w:eastAsia="zh-CN"/>
        </w:rPr>
        <w:t>4</w:t>
      </w:r>
      <w:r>
        <w:rPr>
          <w:rFonts w:hint="eastAsia" w:eastAsia="宋体"/>
          <w:lang w:val="en-US" w:eastAsia="zh-CN"/>
        </w:rPr>
        <w:t>.1 in TS 38.213. Moreover, t</w:t>
      </w:r>
      <w:r>
        <w:rPr>
          <w:rFonts w:eastAsia="宋体"/>
          <w:lang w:val="en-US" w:eastAsia="zh-CN"/>
        </w:rPr>
        <w:t xml:space="preserve">he </w:t>
      </w:r>
      <w:r>
        <w:rPr>
          <w:rFonts w:hint="eastAsia" w:eastAsia="宋体"/>
          <w:lang w:val="en-US" w:eastAsia="zh-CN"/>
        </w:rPr>
        <w:t xml:space="preserve">determination </w:t>
      </w:r>
      <w:r>
        <w:rPr>
          <w:rFonts w:eastAsia="宋体"/>
          <w:lang w:val="en-US" w:eastAsia="zh-CN"/>
        </w:rPr>
        <w:t xml:space="preserve">process of QCL and SSB index </w:t>
      </w:r>
      <w:r>
        <w:rPr>
          <w:rFonts w:hint="eastAsia" w:eastAsia="宋体"/>
          <w:lang w:val="en-US" w:eastAsia="zh-CN"/>
        </w:rPr>
        <w:t xml:space="preserve">described in Clause 4.1 partly </w:t>
      </w:r>
      <w:r>
        <w:rPr>
          <w:rFonts w:eastAsia="宋体"/>
          <w:lang w:val="en-US" w:eastAsia="zh-CN"/>
        </w:rPr>
        <w:t xml:space="preserve">overlaps. Therefore, we suggest </w:t>
      </w:r>
      <w:r>
        <w:rPr>
          <w:rFonts w:hint="eastAsia" w:eastAsia="宋体"/>
          <w:lang w:val="en-US" w:eastAsia="zh-CN"/>
        </w:rPr>
        <w:t>to clarify</w:t>
      </w:r>
      <w:r>
        <w:rPr>
          <w:rFonts w:eastAsia="宋体"/>
          <w:lang w:val="en-US" w:eastAsia="zh-CN"/>
        </w:rPr>
        <w:t xml:space="preserve"> the relationship between SSBs with the same SSB index </w:t>
      </w:r>
      <w:r>
        <w:t xml:space="preserve">within a same </w:t>
      </w:r>
      <w:r>
        <w:rPr>
          <w:rFonts w:hint="eastAsia" w:eastAsia="宋体"/>
          <w:lang w:val="en-US" w:eastAsia="zh-CN"/>
        </w:rPr>
        <w:t>DRS</w:t>
      </w:r>
      <w:r>
        <w:t xml:space="preserve"> transmission window or across </w:t>
      </w:r>
      <w:r>
        <w:rPr>
          <w:rFonts w:hint="eastAsia" w:eastAsia="宋体"/>
          <w:lang w:val="en-US" w:eastAsia="zh-CN"/>
        </w:rPr>
        <w:t>DRS</w:t>
      </w:r>
      <w:r>
        <w:t xml:space="preserve"> transmission windows</w:t>
      </w:r>
      <w:r>
        <w:rPr>
          <w:rFonts w:hint="eastAsia" w:eastAsia="宋体"/>
          <w:lang w:val="en-US" w:eastAsia="zh-CN"/>
        </w:rPr>
        <w:t xml:space="preserve"> </w:t>
      </w:r>
      <w:r>
        <w:rPr>
          <w:rFonts w:eastAsia="宋体"/>
          <w:lang w:val="en-US" w:eastAsia="zh-CN"/>
        </w:rPr>
        <w:t xml:space="preserve">and </w:t>
      </w:r>
      <w:r>
        <w:rPr>
          <w:rFonts w:hint="eastAsia" w:eastAsia="宋体"/>
          <w:lang w:val="en-US" w:eastAsia="zh-CN"/>
        </w:rPr>
        <w:t>merge t</w:t>
      </w:r>
      <w:r>
        <w:rPr>
          <w:rFonts w:eastAsia="宋体"/>
          <w:lang w:val="en-US" w:eastAsia="zh-CN"/>
        </w:rPr>
        <w:t xml:space="preserve">he </w:t>
      </w:r>
      <w:r>
        <w:rPr>
          <w:rFonts w:hint="eastAsia" w:eastAsia="宋体"/>
          <w:lang w:val="en-US" w:eastAsia="zh-CN"/>
        </w:rPr>
        <w:t xml:space="preserve">determination </w:t>
      </w:r>
      <w:r>
        <w:rPr>
          <w:rFonts w:eastAsia="宋体"/>
          <w:lang w:val="en-US" w:eastAsia="zh-CN"/>
        </w:rPr>
        <w:t>process of QCL and SSB index.</w:t>
      </w:r>
    </w:p>
    <w:p>
      <w:pPr>
        <w:autoSpaceDE/>
        <w:autoSpaceDN/>
        <w:adjustRightInd/>
        <w:spacing w:after="0"/>
        <w:rPr>
          <w:b/>
          <w:i/>
          <w:u w:val="single"/>
        </w:rPr>
      </w:pPr>
      <w:r>
        <w:rPr>
          <w:rFonts w:hint="eastAsia"/>
          <w:b/>
          <w:i/>
          <w:u w:val="single"/>
        </w:rPr>
        <w:t xml:space="preserve">Proposal </w:t>
      </w:r>
      <w:r>
        <w:rPr>
          <w:rFonts w:hint="eastAsia"/>
          <w:b/>
          <w:i/>
          <w:u w:val="single"/>
          <w:lang w:val="en-US" w:eastAsia="zh-CN"/>
        </w:rPr>
        <w:t>2</w:t>
      </w:r>
      <w:r>
        <w:rPr>
          <w:rFonts w:hint="eastAsia"/>
          <w:b/>
          <w:i/>
          <w:u w:val="single"/>
        </w:rPr>
        <w:t>:</w:t>
      </w:r>
      <w:r>
        <w:rPr>
          <w:b/>
          <w:i/>
          <w:u w:val="single"/>
        </w:rPr>
        <w:t xml:space="preserve"> </w:t>
      </w:r>
    </w:p>
    <w:p>
      <w:pPr>
        <w:pStyle w:val="56"/>
        <w:numPr>
          <w:ilvl w:val="0"/>
          <w:numId w:val="11"/>
        </w:numPr>
        <w:rPr>
          <w:rFonts w:hint="default"/>
          <w:lang w:val="en-US"/>
        </w:rPr>
      </w:pPr>
      <w:r>
        <w:t xml:space="preserve">Adopt </w:t>
      </w:r>
      <w:r>
        <w:rPr>
          <w:b w:val="0"/>
          <w:bCs w:val="0"/>
        </w:rPr>
        <w:t>the TP#</w:t>
      </w:r>
      <w:r>
        <w:rPr>
          <w:rFonts w:hint="eastAsia"/>
          <w:b w:val="0"/>
          <w:bCs w:val="0"/>
          <w:lang w:val="en-US" w:eastAsia="zh-CN"/>
        </w:rPr>
        <w:t>2 to m</w:t>
      </w:r>
      <w:r>
        <w:rPr>
          <w:rFonts w:hint="eastAsia" w:eastAsia="宋体"/>
          <w:b w:val="0"/>
          <w:bCs w:val="0"/>
          <w:lang w:val="en-US" w:eastAsia="zh-CN"/>
        </w:rPr>
        <w:t>erge t</w:t>
      </w:r>
      <w:r>
        <w:rPr>
          <w:rFonts w:eastAsia="宋体"/>
          <w:b w:val="0"/>
          <w:bCs w:val="0"/>
          <w:lang w:val="en-US" w:eastAsia="zh-CN"/>
        </w:rPr>
        <w:t xml:space="preserve">he </w:t>
      </w:r>
      <w:r>
        <w:rPr>
          <w:rFonts w:hint="eastAsia" w:eastAsia="宋体"/>
          <w:b w:val="0"/>
          <w:bCs w:val="0"/>
          <w:lang w:val="en-US" w:eastAsia="zh-CN"/>
        </w:rPr>
        <w:t xml:space="preserve">determination </w:t>
      </w:r>
      <w:r>
        <w:rPr>
          <w:rFonts w:eastAsia="宋体"/>
          <w:b w:val="0"/>
          <w:bCs w:val="0"/>
          <w:lang w:val="en-US" w:eastAsia="zh-CN"/>
        </w:rPr>
        <w:t>process of QCL and SSB index</w:t>
      </w:r>
      <w:r>
        <w:rPr>
          <w:rFonts w:hint="eastAsia" w:eastAsia="宋体"/>
          <w:b w:val="0"/>
          <w:bCs w:val="0"/>
          <w:lang w:val="en-US" w:eastAsia="zh-CN"/>
        </w:rPr>
        <w:t xml:space="preserve"> in Clause 4.1 in TS 38.213</w:t>
      </w:r>
    </w:p>
    <w:p>
      <w:pPr>
        <w:spacing w:after="0"/>
        <w:rPr>
          <w:sz w:val="20"/>
        </w:rPr>
      </w:pPr>
    </w:p>
    <w:tbl>
      <w:tblPr>
        <w:tblStyle w:val="3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val="0"/>
              <w:spacing w:after="0"/>
              <w:rPr>
                <w:b/>
                <w:sz w:val="20"/>
                <w:szCs w:val="20"/>
                <w:u w:val="single"/>
                <w:lang w:eastAsia="zh-CN"/>
              </w:rPr>
            </w:pPr>
            <w:r>
              <w:rPr>
                <w:b/>
                <w:sz w:val="20"/>
                <w:szCs w:val="20"/>
                <w:u w:val="single"/>
                <w:lang w:eastAsia="zh-CN"/>
              </w:rPr>
              <w:t>Reasons for change</w:t>
            </w:r>
          </w:p>
          <w:p>
            <w:pPr>
              <w:widowControl w:val="0"/>
              <w:numPr>
                <w:ilvl w:val="0"/>
                <w:numId w:val="0"/>
              </w:numPr>
              <w:spacing w:after="0"/>
              <w:rPr>
                <w:rFonts w:eastAsia="宋体"/>
                <w:sz w:val="20"/>
                <w:szCs w:val="20"/>
                <w:lang w:val="en-US" w:eastAsia="zh-CN"/>
              </w:rPr>
            </w:pPr>
            <w:r>
              <w:rPr>
                <w:rFonts w:hint="eastAsia" w:eastAsia="宋体"/>
                <w:sz w:val="20"/>
                <w:szCs w:val="20"/>
                <w:lang w:val="en-US" w:eastAsia="zh-CN"/>
              </w:rPr>
              <w:t>-  T</w:t>
            </w:r>
            <w:r>
              <w:rPr>
                <w:rFonts w:eastAsia="宋体"/>
                <w:sz w:val="20"/>
                <w:szCs w:val="20"/>
                <w:lang w:val="en-US" w:eastAsia="zh-CN"/>
              </w:rPr>
              <w:t xml:space="preserve">he </w:t>
            </w:r>
            <w:r>
              <w:rPr>
                <w:rFonts w:hint="eastAsia" w:eastAsia="宋体"/>
                <w:sz w:val="20"/>
                <w:szCs w:val="20"/>
                <w:lang w:val="en-US" w:eastAsia="zh-CN"/>
              </w:rPr>
              <w:t xml:space="preserve">determination </w:t>
            </w:r>
            <w:r>
              <w:rPr>
                <w:rFonts w:eastAsia="宋体"/>
                <w:sz w:val="20"/>
                <w:szCs w:val="20"/>
                <w:lang w:val="en-US" w:eastAsia="zh-CN"/>
              </w:rPr>
              <w:t xml:space="preserve">process of QCL and SSB index </w:t>
            </w:r>
            <w:r>
              <w:rPr>
                <w:rFonts w:hint="eastAsia" w:eastAsia="宋体"/>
                <w:sz w:val="20"/>
                <w:szCs w:val="20"/>
                <w:lang w:val="en-US" w:eastAsia="zh-CN"/>
              </w:rPr>
              <w:t xml:space="preserve">described in Clause 4.1 in TS 38.213partly </w:t>
            </w:r>
            <w:r>
              <w:rPr>
                <w:rFonts w:eastAsia="宋体"/>
                <w:sz w:val="20"/>
                <w:szCs w:val="20"/>
                <w:lang w:val="en-US" w:eastAsia="zh-CN"/>
              </w:rPr>
              <w:t>overlaps.</w:t>
            </w:r>
          </w:p>
          <w:p>
            <w:pPr>
              <w:widowControl w:val="0"/>
              <w:numPr>
                <w:ilvl w:val="0"/>
                <w:numId w:val="0"/>
              </w:numPr>
              <w:spacing w:after="0"/>
              <w:rPr>
                <w:rFonts w:hint="default" w:eastAsiaTheme="minorEastAsia"/>
                <w:sz w:val="20"/>
                <w:szCs w:val="20"/>
                <w:lang w:val="en-US" w:eastAsia="zh-CN"/>
              </w:rPr>
            </w:pPr>
            <w:r>
              <w:rPr>
                <w:rFonts w:hint="eastAsia" w:eastAsia="宋体"/>
                <w:sz w:val="20"/>
                <w:szCs w:val="20"/>
                <w:lang w:val="en-US" w:eastAsia="zh-CN"/>
              </w:rPr>
              <w:t>-  Th</w:t>
            </w:r>
            <w:r>
              <w:rPr>
                <w:rFonts w:eastAsia="宋体"/>
                <w:sz w:val="20"/>
                <w:szCs w:val="20"/>
                <w:lang w:val="en-US" w:eastAsia="zh-CN"/>
              </w:rPr>
              <w:t xml:space="preserve">ere is no clear </w:t>
            </w:r>
            <w:r>
              <w:rPr>
                <w:rFonts w:hint="eastAsia" w:eastAsia="宋体"/>
                <w:sz w:val="20"/>
                <w:szCs w:val="20"/>
                <w:lang w:val="en-US" w:eastAsia="zh-CN"/>
              </w:rPr>
              <w:t xml:space="preserve">description on </w:t>
            </w:r>
            <w:r>
              <w:rPr>
                <w:rFonts w:eastAsia="宋体"/>
                <w:sz w:val="20"/>
                <w:szCs w:val="20"/>
                <w:lang w:val="en-US" w:eastAsia="zh-CN"/>
              </w:rPr>
              <w:t>relationship between SSB</w:t>
            </w:r>
            <w:r>
              <w:rPr>
                <w:rFonts w:hint="eastAsia" w:eastAsia="宋体"/>
                <w:sz w:val="20"/>
                <w:szCs w:val="20"/>
                <w:lang w:val="en-US" w:eastAsia="zh-CN"/>
              </w:rPr>
              <w:t>s</w:t>
            </w:r>
            <w:r>
              <w:rPr>
                <w:rFonts w:eastAsia="宋体"/>
                <w:sz w:val="20"/>
                <w:szCs w:val="20"/>
                <w:lang w:val="en-US" w:eastAsia="zh-CN"/>
              </w:rPr>
              <w:t xml:space="preserve"> with </w:t>
            </w:r>
            <w:r>
              <w:rPr>
                <w:rFonts w:hint="eastAsia" w:eastAsia="宋体"/>
                <w:sz w:val="20"/>
                <w:szCs w:val="20"/>
                <w:lang w:val="en-US" w:eastAsia="zh-CN"/>
              </w:rPr>
              <w:t xml:space="preserve">a same </w:t>
            </w:r>
            <w:r>
              <w:rPr>
                <w:rFonts w:eastAsia="宋体"/>
                <w:sz w:val="20"/>
                <w:szCs w:val="20"/>
                <w:lang w:val="en-US" w:eastAsia="zh-CN"/>
              </w:rPr>
              <w:t xml:space="preserve">SSB index in </w:t>
            </w:r>
            <w:r>
              <w:rPr>
                <w:rFonts w:hint="eastAsia" w:eastAsia="宋体"/>
                <w:sz w:val="20"/>
                <w:szCs w:val="20"/>
                <w:lang w:val="en-US" w:eastAsia="zh-CN"/>
              </w:rPr>
              <w:t xml:space="preserve">Clause </w:t>
            </w:r>
            <w:r>
              <w:rPr>
                <w:rFonts w:eastAsia="宋体"/>
                <w:sz w:val="20"/>
                <w:szCs w:val="20"/>
                <w:lang w:val="en-US" w:eastAsia="zh-CN"/>
              </w:rPr>
              <w:t>4</w:t>
            </w:r>
            <w:r>
              <w:rPr>
                <w:rFonts w:hint="eastAsia" w:eastAsia="宋体"/>
                <w:sz w:val="20"/>
                <w:szCs w:val="20"/>
                <w:lang w:val="en-US" w:eastAsia="zh-CN"/>
              </w:rPr>
              <w:t>.1 in TS 38.213.</w:t>
            </w:r>
          </w:p>
          <w:p>
            <w:pPr>
              <w:widowControl w:val="0"/>
              <w:spacing w:after="0"/>
              <w:rPr>
                <w:b/>
                <w:sz w:val="20"/>
                <w:szCs w:val="20"/>
                <w:u w:val="single"/>
                <w:lang w:eastAsia="zh-CN"/>
              </w:rPr>
            </w:pPr>
            <w:r>
              <w:rPr>
                <w:b/>
                <w:sz w:val="20"/>
                <w:szCs w:val="20"/>
                <w:u w:val="single"/>
                <w:lang w:eastAsia="zh-CN"/>
              </w:rPr>
              <w:t>Summary of changes</w:t>
            </w:r>
          </w:p>
          <w:p>
            <w:pPr>
              <w:pStyle w:val="166"/>
              <w:widowControl w:val="0"/>
              <w:autoSpaceDE w:val="0"/>
              <w:autoSpaceDN w:val="0"/>
              <w:adjustRightInd w:val="0"/>
              <w:snapToGrid w:val="0"/>
              <w:spacing w:after="0"/>
              <w:jc w:val="both"/>
              <w:rPr>
                <w:rFonts w:ascii="Times New Roman" w:hAnsi="Times New Roman" w:cs="Times New Roman"/>
                <w:sz w:val="20"/>
                <w:szCs w:val="20"/>
              </w:rPr>
            </w:pPr>
            <w:r>
              <w:rPr>
                <w:sz w:val="20"/>
                <w:szCs w:val="20"/>
              </w:rPr>
              <w:t xml:space="preserve">To </w:t>
            </w:r>
            <w:r>
              <w:rPr>
                <w:rFonts w:hint="eastAsia"/>
                <w:sz w:val="20"/>
                <w:szCs w:val="20"/>
                <w:lang w:val="en-US" w:eastAsia="zh-CN"/>
              </w:rPr>
              <w:t>merge</w:t>
            </w:r>
            <w:r>
              <w:rPr>
                <w:rFonts w:hint="eastAsia" w:eastAsia="宋体"/>
                <w:b w:val="0"/>
                <w:bCs w:val="0"/>
                <w:sz w:val="20"/>
                <w:szCs w:val="20"/>
                <w:lang w:val="en-US" w:eastAsia="zh-CN"/>
              </w:rPr>
              <w:t xml:space="preserve"> t</w:t>
            </w:r>
            <w:r>
              <w:rPr>
                <w:rFonts w:eastAsia="宋体"/>
                <w:b w:val="0"/>
                <w:bCs w:val="0"/>
                <w:sz w:val="20"/>
                <w:szCs w:val="20"/>
                <w:lang w:val="en-US" w:eastAsia="zh-CN"/>
              </w:rPr>
              <w:t xml:space="preserve">he </w:t>
            </w:r>
            <w:r>
              <w:rPr>
                <w:rFonts w:hint="eastAsia" w:eastAsia="宋体"/>
                <w:b w:val="0"/>
                <w:bCs w:val="0"/>
                <w:sz w:val="20"/>
                <w:szCs w:val="20"/>
                <w:lang w:val="en-US" w:eastAsia="zh-CN"/>
              </w:rPr>
              <w:t xml:space="preserve">determination </w:t>
            </w:r>
            <w:r>
              <w:rPr>
                <w:rFonts w:eastAsia="宋体"/>
                <w:b w:val="0"/>
                <w:bCs w:val="0"/>
                <w:sz w:val="20"/>
                <w:szCs w:val="20"/>
                <w:lang w:val="en-US" w:eastAsia="zh-CN"/>
              </w:rPr>
              <w:t>process of QCL and SSB index</w:t>
            </w:r>
            <w:r>
              <w:rPr>
                <w:rFonts w:hint="eastAsia" w:eastAsia="宋体"/>
                <w:b w:val="0"/>
                <w:bCs w:val="0"/>
                <w:sz w:val="20"/>
                <w:szCs w:val="20"/>
                <w:lang w:val="en-US" w:eastAsia="zh-CN"/>
              </w:rPr>
              <w:t xml:space="preserve"> in the specification</w:t>
            </w:r>
          </w:p>
          <w:p>
            <w:pPr>
              <w:widowControl w:val="0"/>
              <w:spacing w:after="0"/>
              <w:rPr>
                <w:b/>
                <w:sz w:val="20"/>
                <w:szCs w:val="20"/>
                <w:u w:val="single"/>
                <w:lang w:eastAsia="zh-CN"/>
              </w:rPr>
            </w:pPr>
            <w:r>
              <w:rPr>
                <w:b/>
                <w:sz w:val="20"/>
                <w:szCs w:val="20"/>
                <w:u w:val="single"/>
                <w:lang w:eastAsia="zh-CN"/>
              </w:rPr>
              <w:t>Specs/Sections impacted</w:t>
            </w:r>
          </w:p>
          <w:p>
            <w:pPr>
              <w:widowControl w:val="0"/>
              <w:spacing w:after="0"/>
              <w:rPr>
                <w:rFonts w:hint="default"/>
                <w:sz w:val="20"/>
                <w:szCs w:val="20"/>
                <w:lang w:val="en-US" w:eastAsia="zh-CN"/>
              </w:rPr>
            </w:pPr>
            <w:r>
              <w:rPr>
                <w:sz w:val="20"/>
                <w:szCs w:val="20"/>
                <w:lang w:eastAsia="zh-CN"/>
              </w:rPr>
              <w:t xml:space="preserve">TS 38.213, Section </w:t>
            </w:r>
            <w:r>
              <w:rPr>
                <w:rFonts w:hint="eastAsia"/>
                <w:sz w:val="20"/>
                <w:szCs w:val="20"/>
                <w:lang w:val="en-US" w:eastAsia="zh-CN"/>
              </w:rPr>
              <w:t>4.1</w:t>
            </w:r>
          </w:p>
          <w:p>
            <w:pPr>
              <w:widowControl w:val="0"/>
              <w:spacing w:after="0"/>
              <w:rPr>
                <w:b/>
                <w:bCs/>
                <w:sz w:val="20"/>
                <w:szCs w:val="20"/>
                <w:u w:val="single"/>
              </w:rPr>
            </w:pPr>
            <w:r>
              <w:rPr>
                <w:b/>
                <w:bCs/>
                <w:sz w:val="20"/>
                <w:szCs w:val="20"/>
                <w:u w:val="single"/>
              </w:rPr>
              <w:t>Consequences if not approved:</w:t>
            </w:r>
          </w:p>
          <w:p>
            <w:pPr>
              <w:widowControl w:val="0"/>
              <w:spacing w:after="0"/>
              <w:rPr>
                <w:rFonts w:hint="default" w:eastAsiaTheme="minorEastAsia"/>
                <w:lang w:val="en-US" w:eastAsia="zh-CN"/>
              </w:rPr>
            </w:pPr>
            <w:r>
              <w:rPr>
                <w:rFonts w:hint="eastAsia"/>
                <w:sz w:val="20"/>
                <w:szCs w:val="20"/>
              </w:rPr>
              <w:t>Repetitive and redundant description</w:t>
            </w:r>
            <w:r>
              <w:rPr>
                <w:rFonts w:hint="eastAsia"/>
                <w:sz w:val="20"/>
                <w:szCs w:val="20"/>
                <w:lang w:val="en-US" w:eastAsia="zh-CN"/>
              </w:rPr>
              <w:t xml:space="preserve"> in specification</w:t>
            </w:r>
          </w:p>
          <w:p>
            <w:pPr>
              <w:widowControl w:val="0"/>
              <w:rPr>
                <w:sz w:val="20"/>
                <w:szCs w:val="20"/>
              </w:rPr>
            </w:pPr>
          </w:p>
          <w:p>
            <w:pPr>
              <w:widowControl w:val="0"/>
              <w:spacing w:after="0"/>
              <w:rPr>
                <w:sz w:val="20"/>
                <w:szCs w:val="20"/>
              </w:rPr>
            </w:pPr>
            <w:r>
              <w:rPr>
                <w:sz w:val="20"/>
                <w:szCs w:val="20"/>
              </w:rPr>
              <w:t>======================== Start of TP</w:t>
            </w:r>
            <w:r>
              <w:rPr>
                <w:rFonts w:hint="eastAsia"/>
                <w:sz w:val="20"/>
                <w:szCs w:val="20"/>
                <w:lang w:val="en-US" w:eastAsia="zh-CN"/>
              </w:rPr>
              <w:t>#2</w:t>
            </w:r>
            <w:r>
              <w:rPr>
                <w:sz w:val="20"/>
                <w:szCs w:val="20"/>
              </w:rPr>
              <w:t xml:space="preserve"> for TS 38.213 ===============================</w:t>
            </w:r>
          </w:p>
          <w:p>
            <w:pPr>
              <w:keepNext/>
              <w:keepLines/>
              <w:widowControl w:val="0"/>
              <w:tabs>
                <w:tab w:val="left" w:pos="450"/>
              </w:tabs>
              <w:ind w:left="1417" w:hanging="1417"/>
              <w:rPr>
                <w:sz w:val="24"/>
                <w:szCs w:val="24"/>
                <w:lang w:eastAsia="zh-CN"/>
              </w:rPr>
            </w:pPr>
            <w:r>
              <w:rPr>
                <w:rFonts w:hint="eastAsia"/>
                <w:sz w:val="24"/>
                <w:szCs w:val="24"/>
                <w:lang w:eastAsia="zh-CN"/>
              </w:rPr>
              <w:t>4</w:t>
            </w:r>
            <w:r>
              <w:rPr>
                <w:rFonts w:hint="eastAsia"/>
                <w:sz w:val="24"/>
                <w:szCs w:val="24"/>
                <w:lang w:eastAsia="zh-CN"/>
              </w:rPr>
              <w:tab/>
            </w:r>
            <w:r>
              <w:rPr>
                <w:rFonts w:hint="eastAsia"/>
                <w:sz w:val="24"/>
                <w:szCs w:val="24"/>
                <w:lang w:eastAsia="zh-CN"/>
              </w:rPr>
              <w:t>Synchronization procedures</w:t>
            </w:r>
          </w:p>
          <w:p>
            <w:pPr>
              <w:keepNext/>
              <w:keepLines/>
              <w:widowControl w:val="0"/>
              <w:tabs>
                <w:tab w:val="left" w:pos="450"/>
              </w:tabs>
              <w:ind w:left="1417" w:hanging="1417"/>
              <w:rPr>
                <w:sz w:val="22"/>
                <w:szCs w:val="22"/>
                <w:lang w:eastAsia="zh-CN"/>
              </w:rPr>
            </w:pPr>
            <w:r>
              <w:rPr>
                <w:rFonts w:hint="eastAsia"/>
                <w:sz w:val="22"/>
                <w:szCs w:val="22"/>
                <w:lang w:eastAsia="zh-CN"/>
              </w:rPr>
              <w:t>4.1</w:t>
            </w:r>
            <w:r>
              <w:rPr>
                <w:rFonts w:hint="eastAsia"/>
                <w:sz w:val="22"/>
                <w:szCs w:val="22"/>
                <w:lang w:eastAsia="zh-CN"/>
              </w:rPr>
              <w:tab/>
            </w:r>
            <w:r>
              <w:rPr>
                <w:rFonts w:hint="eastAsia"/>
                <w:sz w:val="22"/>
                <w:szCs w:val="22"/>
                <w:lang w:eastAsia="zh-CN"/>
              </w:rPr>
              <w:t>Cell search</w:t>
            </w:r>
          </w:p>
          <w:p>
            <w:pPr>
              <w:pStyle w:val="168"/>
              <w:widowControl w:val="0"/>
              <w:jc w:val="center"/>
              <w:rPr>
                <w:rFonts w:ascii="Times New Roman" w:hAnsi="Times New Roman" w:eastAsiaTheme="minorEastAsia"/>
                <w:color w:val="C00000"/>
                <w:szCs w:val="20"/>
              </w:rPr>
            </w:pPr>
            <w:r>
              <w:rPr>
                <w:rFonts w:ascii="Times New Roman" w:hAnsi="Times New Roman" w:eastAsiaTheme="minorEastAsia"/>
                <w:color w:val="C00000"/>
                <w:szCs w:val="20"/>
              </w:rPr>
              <w:t>&lt; Unchanged parts are omitted &gt;</w:t>
            </w:r>
          </w:p>
          <w:p>
            <w:pPr>
              <w:widowControl w:val="0"/>
              <w:spacing w:after="160"/>
              <w:rPr>
                <w:rFonts w:eastAsia="宋体"/>
              </w:rPr>
            </w:pPr>
            <w:r>
              <w:rPr>
                <w:rFonts w:eastAsia="宋体"/>
              </w:rPr>
              <w:t xml:space="preserve">For operation with shared spectrum channel access, </w:t>
            </w:r>
            <w:r>
              <w:rPr>
                <w:rFonts w:hint="eastAsia" w:eastAsia="宋体"/>
                <w:color w:val="FF0000"/>
                <w:lang w:val="en-US" w:eastAsia="zh-CN"/>
              </w:rPr>
              <w:t>a</w:t>
            </w:r>
            <w:r>
              <w:rPr>
                <w:color w:val="FF0000"/>
              </w:rPr>
              <w:t xml:space="preserve"> UE can determine an SS/PBCH block index according to </w:t>
            </w:r>
            <m:oMath>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N</m:t>
                      </m:r>
                      <m:ctrlPr>
                        <w:rPr>
                          <w:rFonts w:ascii="Cambria Math" w:hAnsi="Cambria Math"/>
                          <w:i/>
                          <w:color w:val="FF0000"/>
                        </w:rPr>
                      </m:ctrlPr>
                    </m:e>
                    <m:sub>
                      <m:r>
                        <w:rPr>
                          <w:rFonts w:ascii="Cambria Math"/>
                          <w:color w:val="FF0000"/>
                        </w:rPr>
                        <m:t>DM-RS</m:t>
                      </m:r>
                      <m:ctrlPr>
                        <w:rPr>
                          <w:rFonts w:ascii="Cambria Math" w:hAnsi="Cambria Math"/>
                          <w:i/>
                          <w:color w:val="FF0000"/>
                        </w:rPr>
                      </m:ctrlPr>
                    </m:sub>
                    <m:sup>
                      <m:r>
                        <w:rPr>
                          <w:rFonts w:ascii="Cambria Math"/>
                          <w:color w:val="FF0000"/>
                        </w:rPr>
                        <m:t>PBCH</m:t>
                      </m:r>
                      <m:ctrlPr>
                        <w:rPr>
                          <w:rFonts w:ascii="Cambria Math" w:hAnsi="Cambria Math"/>
                          <w:i/>
                          <w:color w:val="FF0000"/>
                        </w:rPr>
                      </m:ctrlPr>
                    </m:sup>
                  </m:sSubSup>
                  <m:func>
                    <m:funcPr>
                      <m:ctrlPr>
                        <w:rPr>
                          <w:rFonts w:ascii="Cambria Math" w:hAnsi="Cambria Math"/>
                          <w:i/>
                          <w:color w:val="FF0000"/>
                        </w:rPr>
                      </m:ctrlPr>
                    </m:funcPr>
                    <m:fName>
                      <m:r>
                        <m:rPr>
                          <m:sty m:val="p"/>
                        </m:rPr>
                        <w:rPr>
                          <w:rFonts w:ascii="Cambria Math"/>
                          <w:color w:val="FF0000"/>
                        </w:rPr>
                        <m:t>mod</m:t>
                      </m:r>
                      <m:ctrlPr>
                        <w:rPr>
                          <w:rFonts w:ascii="Cambria Math" w:hAnsi="Cambria Math"/>
                          <w:i/>
                          <w:color w:val="FF0000"/>
                        </w:rPr>
                      </m:ctrlPr>
                    </m:fName>
                    <m:e>
                      <m:sSubSup>
                        <m:sSubSupPr>
                          <m:ctrlPr>
                            <w:rPr>
                              <w:rFonts w:ascii="Cambria Math" w:hAnsi="Cambria Math"/>
                              <w:i/>
                              <w:color w:val="FF0000"/>
                            </w:rPr>
                          </m:ctrlPr>
                        </m:sSubSupPr>
                        <m:e>
                          <m:r>
                            <w:rPr>
                              <w:rFonts w:ascii="Cambria Math"/>
                              <w:color w:val="FF0000"/>
                            </w:rPr>
                            <m:t>N</m:t>
                          </m:r>
                          <m:ctrlPr>
                            <w:rPr>
                              <w:rFonts w:ascii="Cambria Math" w:hAnsi="Cambria Math"/>
                              <w:i/>
                              <w:color w:val="FF0000"/>
                            </w:rPr>
                          </m:ctrlPr>
                        </m:e>
                        <m:sub>
                          <m:r>
                            <w:rPr>
                              <w:rFonts w:ascii="Cambria Math"/>
                              <w:color w:val="FF0000"/>
                            </w:rPr>
                            <m:t>SSB</m:t>
                          </m:r>
                          <m:ctrlPr>
                            <w:rPr>
                              <w:rFonts w:ascii="Cambria Math" w:hAnsi="Cambria Math"/>
                              <w:i/>
                              <w:color w:val="FF0000"/>
                            </w:rPr>
                          </m:ctrlPr>
                        </m:sub>
                        <m:sup>
                          <m:r>
                            <w:rPr>
                              <w:rFonts w:ascii="Cambria Math"/>
                              <w:color w:val="FF0000"/>
                            </w:rPr>
                            <m:t>QCL</m:t>
                          </m:r>
                          <m:ctrlPr>
                            <w:rPr>
                              <w:rFonts w:ascii="Cambria Math" w:hAnsi="Cambria Math"/>
                              <w:i/>
                              <w:color w:val="FF0000"/>
                            </w:rPr>
                          </m:ctrlPr>
                        </m:sup>
                      </m:sSubSup>
                      <m:ctrlPr>
                        <w:rPr>
                          <w:rFonts w:ascii="Cambria Math" w:hAnsi="Cambria Math"/>
                          <w:i/>
                          <w:color w:val="FF0000"/>
                        </w:rPr>
                      </m:ctrlPr>
                    </m:e>
                  </m:func>
                  <m:ctrlPr>
                    <w:rPr>
                      <w:rFonts w:ascii="Cambria Math" w:hAnsi="Cambria Math"/>
                      <w:i/>
                      <w:color w:val="FF0000"/>
                    </w:rPr>
                  </m:ctrlPr>
                </m:e>
              </m:d>
            </m:oMath>
            <w:r>
              <w:rPr>
                <w:color w:val="FF0000"/>
              </w:rPr>
              <w:t xml:space="preserve">, or according to </w:t>
            </w:r>
            <m:oMath>
              <m:d>
                <m:dPr>
                  <m:ctrlPr>
                    <w:rPr>
                      <w:rFonts w:ascii="Cambria Math" w:hAnsi="Cambria Math"/>
                      <w:i/>
                      <w:color w:val="FF0000"/>
                    </w:rPr>
                  </m:ctrlPr>
                </m:dPr>
                <m:e>
                  <m:acc>
                    <m:accPr>
                      <m:chr m:val="̅"/>
                      <m:ctrlPr>
                        <w:rPr>
                          <w:rFonts w:ascii="Cambria Math" w:hAnsi="Cambria Math"/>
                          <w:i/>
                          <w:color w:val="FF0000"/>
                        </w:rPr>
                      </m:ctrlPr>
                    </m:accPr>
                    <m:e>
                      <m:r>
                        <w:rPr>
                          <w:rFonts w:ascii="Cambria Math" w:hAnsi="Cambria Math"/>
                          <w:color w:val="FF0000"/>
                        </w:rPr>
                        <m:t>i</m:t>
                      </m:r>
                      <m:ctrlPr>
                        <w:rPr>
                          <w:rFonts w:ascii="Cambria Math" w:hAnsi="Cambria Math"/>
                          <w:i/>
                          <w:color w:val="FF0000"/>
                        </w:rPr>
                      </m:ctrlPr>
                    </m:e>
                  </m:acc>
                  <m:r>
                    <w:rPr>
                      <w:rFonts w:ascii="Cambria Math" w:hAnsi="Cambria Math"/>
                      <w:color w:val="FF0000"/>
                    </w:rPr>
                    <m:t xml:space="preserve"> </m:t>
                  </m:r>
                  <m:func>
                    <m:funcPr>
                      <m:ctrlPr>
                        <w:rPr>
                          <w:rFonts w:ascii="Cambria Math" w:hAnsi="Cambria Math"/>
                          <w:i/>
                          <w:color w:val="FF0000"/>
                        </w:rPr>
                      </m:ctrlPr>
                    </m:funcPr>
                    <m:fName>
                      <m:r>
                        <m:rPr>
                          <m:sty m:val="p"/>
                        </m:rPr>
                        <w:rPr>
                          <w:rFonts w:ascii="Cambria Math"/>
                          <w:color w:val="FF0000"/>
                        </w:rPr>
                        <m:t>mod</m:t>
                      </m:r>
                      <m:ctrlPr>
                        <w:rPr>
                          <w:rFonts w:ascii="Cambria Math" w:hAnsi="Cambria Math"/>
                          <w:i/>
                          <w:color w:val="FF0000"/>
                        </w:rPr>
                      </m:ctrlPr>
                    </m:fName>
                    <m:e>
                      <m:sSubSup>
                        <m:sSubSupPr>
                          <m:ctrlPr>
                            <w:rPr>
                              <w:rFonts w:ascii="Cambria Math" w:hAnsi="Cambria Math"/>
                              <w:i/>
                              <w:color w:val="FF0000"/>
                            </w:rPr>
                          </m:ctrlPr>
                        </m:sSubSupPr>
                        <m:e>
                          <m:r>
                            <w:rPr>
                              <w:rFonts w:ascii="Cambria Math"/>
                              <w:color w:val="FF0000"/>
                            </w:rPr>
                            <m:t>N</m:t>
                          </m:r>
                          <m:ctrlPr>
                            <w:rPr>
                              <w:rFonts w:ascii="Cambria Math" w:hAnsi="Cambria Math"/>
                              <w:i/>
                              <w:color w:val="FF0000"/>
                            </w:rPr>
                          </m:ctrlPr>
                        </m:e>
                        <m:sub>
                          <m:r>
                            <w:rPr>
                              <w:rFonts w:ascii="Cambria Math"/>
                              <w:color w:val="FF0000"/>
                            </w:rPr>
                            <m:t>SSB</m:t>
                          </m:r>
                          <m:ctrlPr>
                            <w:rPr>
                              <w:rFonts w:ascii="Cambria Math" w:hAnsi="Cambria Math"/>
                              <w:i/>
                              <w:color w:val="FF0000"/>
                            </w:rPr>
                          </m:ctrlPr>
                        </m:sub>
                        <m:sup>
                          <m:r>
                            <w:rPr>
                              <w:rFonts w:ascii="Cambria Math"/>
                              <w:color w:val="FF0000"/>
                            </w:rPr>
                            <m:t>QCL</m:t>
                          </m:r>
                          <m:ctrlPr>
                            <w:rPr>
                              <w:rFonts w:ascii="Cambria Math" w:hAnsi="Cambria Math"/>
                              <w:i/>
                              <w:color w:val="FF0000"/>
                            </w:rPr>
                          </m:ctrlPr>
                        </m:sup>
                      </m:sSubSup>
                      <m:ctrlPr>
                        <w:rPr>
                          <w:rFonts w:ascii="Cambria Math" w:hAnsi="Cambria Math"/>
                          <w:i/>
                          <w:color w:val="FF0000"/>
                        </w:rPr>
                      </m:ctrlPr>
                    </m:e>
                  </m:func>
                  <m:ctrlPr>
                    <w:rPr>
                      <w:rFonts w:ascii="Cambria Math" w:hAnsi="Cambria Math"/>
                      <w:i/>
                      <w:color w:val="FF0000"/>
                    </w:rPr>
                  </m:ctrlPr>
                </m:e>
              </m:d>
            </m:oMath>
            <w:r>
              <w:rPr>
                <w:strike/>
                <w:color w:val="FF0000"/>
              </w:rPr>
              <w:t>a UE assumes that SS/PBCH blocks in a serving cell that are within a same discovery burst transmission window or across discovery burst transmission windows are quasi co-located with respect to average gain, QCL-TypeA, and QCL-TypeD properties, when applicable</w:t>
            </w:r>
            <w:r>
              <w:rPr>
                <w:rFonts w:eastAsia="宋体"/>
                <w:strike/>
                <w:color w:val="FF0000"/>
                <w:kern w:val="2"/>
                <w:lang w:eastAsia="zh-CN"/>
              </w:rPr>
              <w:t xml:space="preserve"> [6, TS 38.214], if a value of </w:t>
            </w:r>
            <m:oMath>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strike/>
                          <w:color w:val="FF0000"/>
                        </w:rPr>
                        <m:t>N</m:t>
                      </m:r>
                      <m:ctrlPr>
                        <w:rPr>
                          <w:rFonts w:ascii="Cambria Math" w:hAnsi="Cambria Math"/>
                          <w:i/>
                          <w:strike/>
                          <w:color w:val="FF0000"/>
                        </w:rPr>
                      </m:ctrlPr>
                    </m:e>
                    <m:sub>
                      <m:r>
                        <w:rPr>
                          <w:rFonts w:ascii="Cambria Math"/>
                          <w:strike/>
                          <w:color w:val="FF0000"/>
                        </w:rPr>
                        <m:t>DM-RS</m:t>
                      </m:r>
                      <m:ctrlPr>
                        <w:rPr>
                          <w:rFonts w:ascii="Cambria Math" w:hAnsi="Cambria Math"/>
                          <w:i/>
                          <w:strike/>
                          <w:color w:val="FF0000"/>
                        </w:rPr>
                      </m:ctrlPr>
                    </m:sub>
                    <m:sup>
                      <m:r>
                        <w:rPr>
                          <w:rFonts w:ascii="Cambria Math"/>
                          <w:strike/>
                          <w:color w:val="FF0000"/>
                        </w:rPr>
                        <m:t>PBCH</m:t>
                      </m:r>
                      <m:ctrlPr>
                        <w:rPr>
                          <w:rFonts w:ascii="Cambria Math" w:hAnsi="Cambria Math"/>
                          <w:i/>
                          <w:strike/>
                          <w:color w:val="FF0000"/>
                        </w:rPr>
                      </m:ctrlPr>
                    </m:sup>
                  </m:sSubSup>
                  <m:func>
                    <m:funcPr>
                      <m:ctrlPr>
                        <w:rPr>
                          <w:rFonts w:ascii="Cambria Math" w:hAnsi="Cambria Math"/>
                          <w:i/>
                          <w:strike/>
                          <w:color w:val="FF0000"/>
                        </w:rPr>
                      </m:ctrlPr>
                    </m:funcPr>
                    <m:fName>
                      <m:r>
                        <m:rPr>
                          <m:sty m:val="p"/>
                        </m:rPr>
                        <w:rPr>
                          <w:rFonts w:ascii="Cambria Math"/>
                          <w:strike/>
                          <w:color w:val="FF0000"/>
                        </w:rPr>
                        <m:t>mod</m:t>
                      </m:r>
                      <m:ctrlPr>
                        <w:rPr>
                          <w:rFonts w:ascii="Cambria Math" w:hAnsi="Cambria Math"/>
                          <w:i/>
                          <w:strike/>
                          <w:color w:val="FF0000"/>
                        </w:rPr>
                      </m:ctrlPr>
                    </m:fName>
                    <m:e>
                      <m:sSubSup>
                        <m:sSubSupPr>
                          <m:ctrlPr>
                            <w:rPr>
                              <w:rFonts w:ascii="Cambria Math" w:hAnsi="Cambria Math"/>
                              <w:i/>
                              <w:strike/>
                              <w:color w:val="FF0000"/>
                            </w:rPr>
                          </m:ctrlPr>
                        </m:sSubSupPr>
                        <m:e>
                          <m:r>
                            <w:rPr>
                              <w:rFonts w:ascii="Cambria Math"/>
                              <w:strike/>
                              <w:color w:val="FF0000"/>
                            </w:rPr>
                            <m:t>N</m:t>
                          </m:r>
                          <m:ctrlPr>
                            <w:rPr>
                              <w:rFonts w:ascii="Cambria Math" w:hAnsi="Cambria Math"/>
                              <w:i/>
                              <w:strike/>
                              <w:color w:val="FF0000"/>
                            </w:rPr>
                          </m:ctrlPr>
                        </m:e>
                        <m:sub>
                          <m:r>
                            <w:rPr>
                              <w:rFonts w:ascii="Cambria Math"/>
                              <w:strike/>
                              <w:color w:val="FF0000"/>
                            </w:rPr>
                            <m:t>SSB</m:t>
                          </m:r>
                          <m:ctrlPr>
                            <w:rPr>
                              <w:rFonts w:ascii="Cambria Math" w:hAnsi="Cambria Math"/>
                              <w:i/>
                              <w:strike/>
                              <w:color w:val="FF0000"/>
                            </w:rPr>
                          </m:ctrlPr>
                        </m:sub>
                        <m:sup>
                          <m:r>
                            <w:rPr>
                              <w:rFonts w:ascii="Cambria Math"/>
                              <w:strike/>
                              <w:color w:val="FF0000"/>
                            </w:rPr>
                            <m:t>QCL</m:t>
                          </m:r>
                          <m:ctrlPr>
                            <w:rPr>
                              <w:rFonts w:ascii="Cambria Math" w:hAnsi="Cambria Math"/>
                              <w:i/>
                              <w:strike/>
                              <w:color w:val="FF0000"/>
                            </w:rPr>
                          </m:ctrlPr>
                        </m:sup>
                      </m:sSubSup>
                      <m:ctrlPr>
                        <w:rPr>
                          <w:rFonts w:ascii="Cambria Math" w:hAnsi="Cambria Math"/>
                          <w:i/>
                          <w:strike/>
                          <w:color w:val="FF0000"/>
                        </w:rPr>
                      </m:ctrlPr>
                    </m:e>
                  </m:func>
                  <m:ctrlPr>
                    <w:rPr>
                      <w:rFonts w:ascii="Cambria Math" w:hAnsi="Cambria Math"/>
                      <w:i/>
                      <w:strike/>
                      <w:color w:val="FF0000"/>
                    </w:rPr>
                  </m:ctrlPr>
                </m:e>
              </m:d>
            </m:oMath>
            <w:r>
              <w:rPr>
                <w:strike/>
                <w:color w:val="FF0000"/>
              </w:rPr>
              <w:t xml:space="preserve"> is same among the SS/PBCH blocks</w:t>
            </w:r>
            <w:r>
              <w:rPr>
                <w:rFonts w:eastAsia="宋体"/>
              </w:rPr>
              <w:t xml:space="preserve">. </w:t>
            </w:r>
            <m:oMath>
              <m:sSubSup>
                <m:sSubSupPr>
                  <m:ctrlPr>
                    <w:rPr>
                      <w:rFonts w:ascii="Cambria Math" w:hAnsi="Cambria Math"/>
                      <w:i/>
                    </w:rPr>
                  </m:ctrlPr>
                </m:sSubSupPr>
                <m:e>
                  <m:r>
                    <w:rPr>
                      <w:rFonts w:ascii="Cambria Math"/>
                    </w:rPr>
                    <m:t>N</m:t>
                  </m:r>
                  <m:ctrlPr>
                    <w:rPr>
                      <w:rFonts w:ascii="Cambria Math" w:hAnsi="Cambria Math"/>
                      <w:i/>
                    </w:rPr>
                  </m:ctrlPr>
                </m:e>
                <m:sub>
                  <m:r>
                    <w:rPr>
                      <w:rFonts w:ascii="Cambria Math"/>
                    </w:rPr>
                    <m:t>DM-RS</m:t>
                  </m:r>
                  <m:ctrlPr>
                    <w:rPr>
                      <w:rFonts w:ascii="Cambria Math" w:hAnsi="Cambria Math"/>
                      <w:i/>
                    </w:rPr>
                  </m:ctrlPr>
                </m:sub>
                <m:sup>
                  <m:r>
                    <w:rPr>
                      <w:rFonts w:ascii="Cambria Math"/>
                    </w:rPr>
                    <m:t>PBCH</m:t>
                  </m:r>
                  <m:ctrlPr>
                    <w:rPr>
                      <w:rFonts w:ascii="Cambria Math" w:hAnsi="Cambria Math"/>
                      <w:i/>
                    </w:rPr>
                  </m:ctrlPr>
                </m:sup>
              </m:sSubSup>
            </m:oMath>
            <w:r>
              <w:rPr>
                <w:rFonts w:eastAsia="宋体"/>
              </w:rPr>
              <w:t xml:space="preserve"> is an </w:t>
            </w:r>
            <w:r>
              <w:rPr>
                <w:rFonts w:eastAsia="宋体"/>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ctrlPr>
                    <w:rPr>
                      <w:rFonts w:ascii="Cambria Math" w:hAnsi="Cambria Math"/>
                      <w:i/>
                    </w:rPr>
                  </m:ctrlPr>
                </m:e>
                <m:sub>
                  <m:r>
                    <w:rPr>
                      <w:rFonts w:ascii="Cambria Math"/>
                    </w:rPr>
                    <m:t>SSB</m:t>
                  </m:r>
                  <m:ctrlPr>
                    <w:rPr>
                      <w:rFonts w:ascii="Cambria Math" w:hAnsi="Cambria Math"/>
                      <w:i/>
                    </w:rPr>
                  </m:ctrlPr>
                </m:sub>
                <m:sup>
                  <m:r>
                    <w:rPr>
                      <w:rFonts w:ascii="Cambria Math"/>
                    </w:rPr>
                    <m:t>QCL</m:t>
                  </m:r>
                  <m:ctrlPr>
                    <w:rPr>
                      <w:rFonts w:ascii="Cambria Math" w:hAnsi="Cambria Math"/>
                      <w:i/>
                    </w:rPr>
                  </m:ctrlPr>
                </m:sup>
              </m:sSubSup>
            </m:oMath>
            <w:r>
              <w:rPr>
                <w:rFonts w:eastAsia="宋体"/>
              </w:rPr>
              <w:t xml:space="preserve"> is either provided by </w:t>
            </w:r>
            <w:r>
              <w:rPr>
                <w:i/>
              </w:rPr>
              <w:t>ssb-PositionQCL-r16</w:t>
            </w:r>
            <w:r>
              <w:rPr>
                <w:rFonts w:eastAsia="宋体"/>
              </w:rPr>
              <w:t xml:space="preserve"> or, if </w:t>
            </w:r>
            <w:r>
              <w:rPr>
                <w:i/>
              </w:rPr>
              <w:t>ssb-PositionQCL-r16</w:t>
            </w:r>
            <w:r>
              <w:rPr>
                <w:rFonts w:eastAsia="宋体"/>
              </w:rPr>
              <w:t xml:space="preserve"> is not provided,</w:t>
            </w:r>
            <w:r>
              <w:rPr>
                <w:rFonts w:eastAsia="宋体"/>
                <w:i/>
              </w:rPr>
              <w:t xml:space="preserve"> </w:t>
            </w:r>
            <w:r>
              <w:rPr>
                <w:rFonts w:eastAsia="宋体"/>
              </w:rPr>
              <w:t xml:space="preserve">obtained from a </w:t>
            </w:r>
            <w:r>
              <w:rPr>
                <w:rFonts w:eastAsia="宋体"/>
                <w:i/>
              </w:rPr>
              <w:t>MIB</w:t>
            </w:r>
            <w:r>
              <w:rPr>
                <w:rFonts w:eastAsia="宋体"/>
              </w:rPr>
              <w:t xml:space="preserve"> </w:t>
            </w:r>
            <w:r>
              <w:rPr>
                <w:rFonts w:eastAsia="宋体"/>
                <w:lang w:eastAsia="ja-JP"/>
              </w:rPr>
              <w:t>provided by a SS/PBCH block</w:t>
            </w:r>
            <w:r>
              <w:rPr>
                <w:rFonts w:eastAsia="宋体"/>
              </w:rPr>
              <w:t xml:space="preserve"> according to Table 4.1-1 </w:t>
            </w:r>
            <w:r>
              <w:rPr>
                <w:rFonts w:eastAsia="宋体"/>
                <w:snapToGrid w:val="0"/>
                <w:kern w:val="2"/>
                <w:szCs w:val="22"/>
                <w:lang w:eastAsia="ko-KR"/>
              </w:rPr>
              <w:t xml:space="preserve">with </w:t>
            </w:r>
            <m:oMath>
              <m:sSub>
                <m:sSubPr>
                  <m:ctrlPr>
                    <w:rPr>
                      <w:rFonts w:ascii="Cambria Math" w:hAnsi="Cambria Math" w:eastAsia="Malgun Gothic"/>
                      <w:i/>
                      <w:snapToGrid w:val="0"/>
                      <w:kern w:val="2"/>
                      <w:szCs w:val="22"/>
                      <w:lang w:eastAsia="ko-KR"/>
                    </w:rPr>
                  </m:ctrlPr>
                </m:sSubPr>
                <m:e>
                  <m:r>
                    <w:rPr>
                      <w:rFonts w:ascii="Cambria Math" w:hAnsi="Cambria Math" w:eastAsia="Malgun Gothic"/>
                      <w:snapToGrid w:val="0"/>
                      <w:kern w:val="2"/>
                      <w:szCs w:val="22"/>
                      <w:lang w:eastAsia="ko-KR"/>
                    </w:rPr>
                    <m:t>k</m:t>
                  </m:r>
                  <m:ctrlPr>
                    <w:rPr>
                      <w:rFonts w:ascii="Cambria Math" w:hAnsi="Cambria Math" w:eastAsia="Malgun Gothic"/>
                      <w:i/>
                      <w:snapToGrid w:val="0"/>
                      <w:kern w:val="2"/>
                      <w:szCs w:val="22"/>
                      <w:lang w:eastAsia="ko-KR"/>
                    </w:rPr>
                  </m:ctrlPr>
                </m:e>
                <m:sub>
                  <m:r>
                    <w:rPr>
                      <w:rFonts w:ascii="Cambria Math" w:hAnsi="Cambria Math" w:eastAsia="Malgun Gothic"/>
                      <w:snapToGrid w:val="0"/>
                      <w:kern w:val="2"/>
                      <w:szCs w:val="22"/>
                      <w:lang w:eastAsia="ko-KR"/>
                    </w:rPr>
                    <m:t>SSB</m:t>
                  </m:r>
                  <m:ctrlPr>
                    <w:rPr>
                      <w:rFonts w:ascii="Cambria Math" w:hAnsi="Cambria Math" w:eastAsia="Malgun Gothic"/>
                      <w:i/>
                      <w:snapToGrid w:val="0"/>
                      <w:kern w:val="2"/>
                      <w:szCs w:val="22"/>
                      <w:lang w:eastAsia="ko-KR"/>
                    </w:rPr>
                  </m:ctrlPr>
                </m:sub>
              </m:sSub>
              <m:r>
                <w:rPr>
                  <w:rFonts w:ascii="Cambria Math" w:hAnsi="Cambria Math" w:eastAsia="Malgun Gothic"/>
                  <w:snapToGrid w:val="0"/>
                  <w:kern w:val="2"/>
                  <w:szCs w:val="22"/>
                  <w:lang w:eastAsia="ko-KR"/>
                </w:rPr>
                <m:t>&lt;24</m:t>
              </m:r>
            </m:oMath>
            <w:r>
              <w:rPr>
                <w:rFonts w:eastAsia="宋体"/>
                <w:snapToGrid w:val="0"/>
                <w:kern w:val="2"/>
                <w:szCs w:val="22"/>
              </w:rPr>
              <w:t xml:space="preserve"> [4, TS 38.211]</w:t>
            </w:r>
            <w:r>
              <w:rPr>
                <w:rFonts w:eastAsia="宋体"/>
              </w:rPr>
              <w:t xml:space="preserve">. </w:t>
            </w:r>
            <w:r>
              <w:rPr>
                <w:rFonts w:eastAsia="宋体"/>
                <w:i/>
                <w:iCs/>
              </w:rPr>
              <w:t>subCarrierSpacingCommon</w:t>
            </w:r>
            <w:r>
              <w:rPr>
                <w:rFonts w:eastAsia="宋体"/>
              </w:rPr>
              <w:t xml:space="preserve"> indicates SCS of RMSI only for the case of operation without shared spectrum channel access. </w:t>
            </w:r>
            <w:r>
              <w:rPr>
                <w:rFonts w:eastAsia="宋体"/>
                <w:strike/>
                <w:color w:val="FF0000"/>
              </w:rPr>
              <w:t xml:space="preserve">The UE can determine an SS/PBCH block index according to </w:t>
            </w:r>
            <m:oMath>
              <m:d>
                <m:dPr>
                  <m:ctrlPr>
                    <w:rPr>
                      <w:rFonts w:ascii="Cambria Math" w:hAnsi="Cambria Math"/>
                      <w:i/>
                      <w:strike/>
                      <w:color w:val="FF0000"/>
                    </w:rPr>
                  </m:ctrlPr>
                </m:dPr>
                <m:e>
                  <m:sSubSup>
                    <m:sSubSupPr>
                      <m:ctrlPr>
                        <w:rPr>
                          <w:rFonts w:ascii="Cambria Math" w:hAnsi="Cambria Math"/>
                          <w:i/>
                          <w:strike/>
                          <w:color w:val="FF0000"/>
                        </w:rPr>
                      </m:ctrlPr>
                    </m:sSubSupPr>
                    <m:e>
                      <m:r>
                        <w:rPr>
                          <w:rFonts w:ascii="Cambria Math"/>
                          <w:strike/>
                          <w:color w:val="FF0000"/>
                        </w:rPr>
                        <m:t>N</m:t>
                      </m:r>
                      <m:ctrlPr>
                        <w:rPr>
                          <w:rFonts w:ascii="Cambria Math" w:hAnsi="Cambria Math"/>
                          <w:i/>
                          <w:strike/>
                          <w:color w:val="FF0000"/>
                        </w:rPr>
                      </m:ctrlPr>
                    </m:e>
                    <m:sub>
                      <m:r>
                        <w:rPr>
                          <w:rFonts w:ascii="Cambria Math"/>
                          <w:strike/>
                          <w:color w:val="FF0000"/>
                        </w:rPr>
                        <m:t>DM-RS</m:t>
                      </m:r>
                      <m:ctrlPr>
                        <w:rPr>
                          <w:rFonts w:ascii="Cambria Math" w:hAnsi="Cambria Math"/>
                          <w:i/>
                          <w:strike/>
                          <w:color w:val="FF0000"/>
                        </w:rPr>
                      </m:ctrlPr>
                    </m:sub>
                    <m:sup>
                      <m:r>
                        <w:rPr>
                          <w:rFonts w:ascii="Cambria Math"/>
                          <w:strike/>
                          <w:color w:val="FF0000"/>
                        </w:rPr>
                        <m:t>PBCH</m:t>
                      </m:r>
                      <m:ctrlPr>
                        <w:rPr>
                          <w:rFonts w:ascii="Cambria Math" w:hAnsi="Cambria Math"/>
                          <w:i/>
                          <w:strike/>
                          <w:color w:val="FF0000"/>
                        </w:rPr>
                      </m:ctrlPr>
                    </m:sup>
                  </m:sSubSup>
                  <m:func>
                    <m:funcPr>
                      <m:ctrlPr>
                        <w:rPr>
                          <w:rFonts w:ascii="Cambria Math" w:hAnsi="Cambria Math"/>
                          <w:i/>
                          <w:strike/>
                          <w:color w:val="FF0000"/>
                        </w:rPr>
                      </m:ctrlPr>
                    </m:funcPr>
                    <m:fName>
                      <m:r>
                        <m:rPr>
                          <m:sty m:val="p"/>
                        </m:rPr>
                        <w:rPr>
                          <w:rFonts w:ascii="Cambria Math"/>
                          <w:strike/>
                          <w:color w:val="FF0000"/>
                        </w:rPr>
                        <m:t>mod</m:t>
                      </m:r>
                      <m:ctrlPr>
                        <w:rPr>
                          <w:rFonts w:ascii="Cambria Math" w:hAnsi="Cambria Math"/>
                          <w:i/>
                          <w:strike/>
                          <w:color w:val="FF0000"/>
                        </w:rPr>
                      </m:ctrlPr>
                    </m:fName>
                    <m:e>
                      <m:sSubSup>
                        <m:sSubSupPr>
                          <m:ctrlPr>
                            <w:rPr>
                              <w:rFonts w:ascii="Cambria Math" w:hAnsi="Cambria Math"/>
                              <w:i/>
                              <w:strike/>
                              <w:color w:val="FF0000"/>
                            </w:rPr>
                          </m:ctrlPr>
                        </m:sSubSupPr>
                        <m:e>
                          <m:r>
                            <w:rPr>
                              <w:rFonts w:ascii="Cambria Math"/>
                              <w:strike/>
                              <w:color w:val="FF0000"/>
                            </w:rPr>
                            <m:t>N</m:t>
                          </m:r>
                          <m:ctrlPr>
                            <w:rPr>
                              <w:rFonts w:ascii="Cambria Math" w:hAnsi="Cambria Math"/>
                              <w:i/>
                              <w:strike/>
                              <w:color w:val="FF0000"/>
                            </w:rPr>
                          </m:ctrlPr>
                        </m:e>
                        <m:sub>
                          <m:r>
                            <w:rPr>
                              <w:rFonts w:ascii="Cambria Math"/>
                              <w:strike/>
                              <w:color w:val="FF0000"/>
                            </w:rPr>
                            <m:t>SSB</m:t>
                          </m:r>
                          <m:ctrlPr>
                            <w:rPr>
                              <w:rFonts w:ascii="Cambria Math" w:hAnsi="Cambria Math"/>
                              <w:i/>
                              <w:strike/>
                              <w:color w:val="FF0000"/>
                            </w:rPr>
                          </m:ctrlPr>
                        </m:sub>
                        <m:sup>
                          <m:r>
                            <w:rPr>
                              <w:rFonts w:ascii="Cambria Math"/>
                              <w:strike/>
                              <w:color w:val="FF0000"/>
                            </w:rPr>
                            <m:t>QCL</m:t>
                          </m:r>
                          <m:ctrlPr>
                            <w:rPr>
                              <w:rFonts w:ascii="Cambria Math" w:hAnsi="Cambria Math"/>
                              <w:i/>
                              <w:strike/>
                              <w:color w:val="FF0000"/>
                            </w:rPr>
                          </m:ctrlPr>
                        </m:sup>
                      </m:sSubSup>
                      <m:ctrlPr>
                        <w:rPr>
                          <w:rFonts w:ascii="Cambria Math" w:hAnsi="Cambria Math"/>
                          <w:i/>
                          <w:strike/>
                          <w:color w:val="FF0000"/>
                        </w:rPr>
                      </m:ctrlPr>
                    </m:e>
                  </m:func>
                  <m:ctrlPr>
                    <w:rPr>
                      <w:rFonts w:ascii="Cambria Math" w:hAnsi="Cambria Math"/>
                      <w:i/>
                      <w:strike/>
                      <w:color w:val="FF0000"/>
                    </w:rPr>
                  </m:ctrlPr>
                </m:e>
              </m:d>
            </m:oMath>
            <w:r>
              <w:rPr>
                <w:rFonts w:eastAsia="宋体"/>
                <w:strike/>
                <w:color w:val="FF0000"/>
              </w:rPr>
              <w:t xml:space="preserve">, or according to </w:t>
            </w:r>
            <m:oMath>
              <m:d>
                <m:dPr>
                  <m:ctrlPr>
                    <w:rPr>
                      <w:rFonts w:ascii="Cambria Math" w:hAnsi="Cambria Math"/>
                      <w:i/>
                      <w:strike/>
                      <w:color w:val="FF0000"/>
                    </w:rPr>
                  </m:ctrlPr>
                </m:dPr>
                <m:e>
                  <m:acc>
                    <m:accPr>
                      <m:chr m:val="̅"/>
                      <m:ctrlPr>
                        <w:rPr>
                          <w:rFonts w:ascii="Cambria Math" w:hAnsi="Cambria Math"/>
                          <w:i/>
                          <w:strike/>
                          <w:color w:val="FF0000"/>
                        </w:rPr>
                      </m:ctrlPr>
                    </m:accPr>
                    <m:e>
                      <m:r>
                        <w:rPr>
                          <w:rFonts w:ascii="Cambria Math" w:hAnsi="Cambria Math"/>
                          <w:strike/>
                          <w:color w:val="FF0000"/>
                        </w:rPr>
                        <m:t>i</m:t>
                      </m:r>
                      <m:ctrlPr>
                        <w:rPr>
                          <w:rFonts w:ascii="Cambria Math" w:hAnsi="Cambria Math"/>
                          <w:i/>
                          <w:strike/>
                          <w:color w:val="FF0000"/>
                        </w:rPr>
                      </m:ctrlPr>
                    </m:e>
                  </m:acc>
                  <m:r>
                    <w:rPr>
                      <w:rFonts w:ascii="Cambria Math" w:hAnsi="Cambria Math"/>
                      <w:strike/>
                      <w:color w:val="FF0000"/>
                    </w:rPr>
                    <m:t xml:space="preserve"> </m:t>
                  </m:r>
                  <m:func>
                    <m:funcPr>
                      <m:ctrlPr>
                        <w:rPr>
                          <w:rFonts w:ascii="Cambria Math" w:hAnsi="Cambria Math"/>
                          <w:i/>
                          <w:strike/>
                          <w:color w:val="FF0000"/>
                        </w:rPr>
                      </m:ctrlPr>
                    </m:funcPr>
                    <m:fName>
                      <m:r>
                        <m:rPr>
                          <m:sty m:val="p"/>
                        </m:rPr>
                        <w:rPr>
                          <w:rFonts w:ascii="Cambria Math"/>
                          <w:strike/>
                          <w:color w:val="FF0000"/>
                        </w:rPr>
                        <m:t>mod</m:t>
                      </m:r>
                      <m:ctrlPr>
                        <w:rPr>
                          <w:rFonts w:ascii="Cambria Math" w:hAnsi="Cambria Math"/>
                          <w:i/>
                          <w:strike/>
                          <w:color w:val="FF0000"/>
                        </w:rPr>
                      </m:ctrlPr>
                    </m:fName>
                    <m:e>
                      <m:sSubSup>
                        <m:sSubSupPr>
                          <m:ctrlPr>
                            <w:rPr>
                              <w:rFonts w:ascii="Cambria Math" w:hAnsi="Cambria Math"/>
                              <w:i/>
                              <w:strike/>
                              <w:color w:val="FF0000"/>
                            </w:rPr>
                          </m:ctrlPr>
                        </m:sSubSupPr>
                        <m:e>
                          <m:r>
                            <w:rPr>
                              <w:rFonts w:ascii="Cambria Math"/>
                              <w:strike/>
                              <w:color w:val="FF0000"/>
                            </w:rPr>
                            <m:t>N</m:t>
                          </m:r>
                          <m:ctrlPr>
                            <w:rPr>
                              <w:rFonts w:ascii="Cambria Math" w:hAnsi="Cambria Math"/>
                              <w:i/>
                              <w:strike/>
                              <w:color w:val="FF0000"/>
                            </w:rPr>
                          </m:ctrlPr>
                        </m:e>
                        <m:sub>
                          <m:r>
                            <w:rPr>
                              <w:rFonts w:ascii="Cambria Math"/>
                              <w:strike/>
                              <w:color w:val="FF0000"/>
                            </w:rPr>
                            <m:t>SSB</m:t>
                          </m:r>
                          <m:ctrlPr>
                            <w:rPr>
                              <w:rFonts w:ascii="Cambria Math" w:hAnsi="Cambria Math"/>
                              <w:i/>
                              <w:strike/>
                              <w:color w:val="FF0000"/>
                            </w:rPr>
                          </m:ctrlPr>
                        </m:sub>
                        <m:sup>
                          <m:r>
                            <w:rPr>
                              <w:rFonts w:ascii="Cambria Math"/>
                              <w:strike/>
                              <w:color w:val="FF0000"/>
                            </w:rPr>
                            <m:t>QCL</m:t>
                          </m:r>
                          <m:ctrlPr>
                            <w:rPr>
                              <w:rFonts w:ascii="Cambria Math" w:hAnsi="Cambria Math"/>
                              <w:i/>
                              <w:strike/>
                              <w:color w:val="FF0000"/>
                            </w:rPr>
                          </m:ctrlPr>
                        </m:sup>
                      </m:sSubSup>
                      <m:ctrlPr>
                        <w:rPr>
                          <w:rFonts w:ascii="Cambria Math" w:hAnsi="Cambria Math"/>
                          <w:i/>
                          <w:strike/>
                          <w:color w:val="FF0000"/>
                        </w:rPr>
                      </m:ctrlPr>
                    </m:e>
                  </m:func>
                  <m:ctrlPr>
                    <w:rPr>
                      <w:rFonts w:ascii="Cambria Math" w:hAnsi="Cambria Math"/>
                      <w:i/>
                      <w:strike/>
                      <w:color w:val="FF0000"/>
                    </w:rPr>
                  </m:ctrlPr>
                </m:e>
              </m:d>
            </m:oMath>
            <w:r>
              <w:rPr>
                <w:rFonts w:eastAsia="宋体"/>
                <w:strike/>
                <w:color w:val="FF0000"/>
              </w:rPr>
              <w:t xml:space="preserve"> where </w:t>
            </w:r>
            <m:oMath>
              <m:acc>
                <m:accPr>
                  <m:chr m:val="̅"/>
                  <m:ctrlPr>
                    <w:rPr>
                      <w:rFonts w:ascii="Cambria Math" w:hAnsi="Cambria Math"/>
                      <w:i/>
                    </w:rPr>
                  </m:ctrlPr>
                </m:accPr>
                <m:e>
                  <m:r>
                    <w:rPr>
                      <w:rFonts w:ascii="Cambria Math" w:hAnsi="Cambria Math"/>
                    </w:rPr>
                    <m:t>i</m:t>
                  </m:r>
                  <m:ctrlPr>
                    <w:rPr>
                      <w:rFonts w:ascii="Cambria Math" w:hAnsi="Cambria Math"/>
                      <w:i/>
                    </w:rPr>
                  </m:ctrlPr>
                </m:e>
              </m:acc>
            </m:oMath>
            <w:r>
              <w:rPr>
                <w:rFonts w:eastAsia="宋体"/>
              </w:rPr>
              <w:t xml:space="preserve"> is the candidate SS/PBCH block index. </w:t>
            </w:r>
            <w:r>
              <w:rPr>
                <w:rFonts w:hint="eastAsia" w:eastAsia="宋体"/>
                <w:color w:val="FF0000"/>
                <w:lang w:val="en-US" w:eastAsia="zh-CN"/>
              </w:rPr>
              <w:t>The</w:t>
            </w:r>
            <w:r>
              <w:rPr>
                <w:color w:val="FF0000"/>
              </w:rPr>
              <w:t xml:space="preserve"> UE assumes that SS/PBCH blocks in a serving cell that are within a same discovery burst transmission window or across discovery burst transmission windows are quasi co-located with respect to average gain, QCL-TypeA, and QCL-TypeD properties, when applicable</w:t>
            </w:r>
            <w:r>
              <w:rPr>
                <w:rFonts w:eastAsia="宋体"/>
                <w:color w:val="FF0000"/>
                <w:kern w:val="2"/>
                <w:lang w:eastAsia="zh-CN"/>
              </w:rPr>
              <w:t xml:space="preserve"> [6, TS 38.214], if </w:t>
            </w:r>
            <w:r>
              <w:rPr>
                <w:rFonts w:hint="eastAsia" w:eastAsia="宋体"/>
                <w:color w:val="FF0000"/>
                <w:kern w:val="2"/>
                <w:lang w:val="en-US" w:eastAsia="zh-CN"/>
              </w:rPr>
              <w:t>the SS/PBCH block index</w:t>
            </w:r>
            <w:r>
              <w:rPr>
                <w:color w:val="FF0000"/>
              </w:rPr>
              <w:t xml:space="preserve"> is same among the SS/PBCH blocks.</w:t>
            </w:r>
            <w:r>
              <w:rPr>
                <w:rFonts w:hint="eastAsia" w:eastAsia="宋体"/>
                <w:color w:val="FF0000"/>
                <w:lang w:val="en-US" w:eastAsia="zh-CN"/>
              </w:rPr>
              <w:t xml:space="preserve"> </w:t>
            </w:r>
            <w:r>
              <w:rPr>
                <w:rFonts w:eastAsia="宋体"/>
              </w:rPr>
              <w:t xml:space="preserve">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ctrlPr>
                    <w:rPr>
                      <w:rFonts w:ascii="Cambria Math" w:hAnsi="Cambria Math" w:cs="Calibri"/>
                      <w:i/>
                      <w:iCs/>
                      <w:sz w:val="24"/>
                    </w:rPr>
                  </m:ctrlPr>
                </m:e>
                <m:sub>
                  <m:r>
                    <w:rPr>
                      <w:rFonts w:ascii="Cambria Math" w:hAnsi="Cambria Math"/>
                    </w:rPr>
                    <m:t>SSB</m:t>
                  </m:r>
                  <m:ctrlPr>
                    <w:rPr>
                      <w:rFonts w:ascii="Cambria Math" w:hAnsi="Cambria Math" w:cs="Calibri"/>
                      <w:i/>
                      <w:iCs/>
                      <w:sz w:val="24"/>
                    </w:rPr>
                  </m:ctrlPr>
                </m:sub>
                <m:sup>
                  <m:r>
                    <w:rPr>
                      <w:rFonts w:ascii="Cambria Math" w:hAnsi="Cambria Math"/>
                    </w:rPr>
                    <m:t>QCL</m:t>
                  </m:r>
                  <m:ctrlPr>
                    <w:rPr>
                      <w:rFonts w:ascii="Cambria Math" w:hAnsi="Cambria Math" w:cs="Calibri"/>
                      <w:i/>
                      <w:iCs/>
                      <w:sz w:val="24"/>
                    </w:rPr>
                  </m:ctrlPr>
                </m:sup>
              </m:sSubSup>
            </m:oMath>
            <w:r>
              <w:rPr>
                <w:rFonts w:eastAsia="宋体"/>
                <w:lang w:eastAsia="ko-KR"/>
              </w:rPr>
              <w:t xml:space="preserve"> </w:t>
            </w:r>
            <w:r>
              <w:rPr>
                <w:rFonts w:eastAsia="宋体"/>
              </w:rPr>
              <w:t>and a number of transmitted SS/PBCH blocks with a same SS/PBCH block index is not larger than one.</w:t>
            </w:r>
          </w:p>
          <w:p>
            <w:pPr>
              <w:pStyle w:val="98"/>
              <w:widowControl w:val="0"/>
            </w:pPr>
            <w:r>
              <w:t xml:space="preserve">Table 4.1-1: Mapping between the combination of </w:t>
            </w:r>
            <w:r>
              <w:rPr>
                <w:iCs/>
              </w:rPr>
              <w:t xml:space="preserve">subCarrierSpacingCommon </w:t>
            </w:r>
            <w:r>
              <w:t>and</w:t>
            </w:r>
            <w:r>
              <w:rPr>
                <w:iCs/>
              </w:rPr>
              <w:t xml:space="preserve"> </w:t>
            </w:r>
            <w:r>
              <w:t>LSB of</w:t>
            </w:r>
            <w:r>
              <w:rPr>
                <w:iCs/>
              </w:rPr>
              <w:t xml:space="preserve"> ssb-SubcarrierOffset</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ctrlPr>
                    <w:rPr>
                      <w:rFonts w:ascii="Cambria Math" w:hAnsi="Cambria Math"/>
                    </w:rPr>
                  </m:ctrlPr>
                </m:e>
                <m:sub>
                  <m:r>
                    <m:rPr>
                      <m:sty m:val="bi"/>
                    </m:rPr>
                    <w:rPr>
                      <w:rFonts w:ascii="Cambria Math" w:hAnsi="Cambria Math"/>
                    </w:rPr>
                    <m:t>SSB</m:t>
                  </m:r>
                  <m:ctrlPr>
                    <w:rPr>
                      <w:rFonts w:ascii="Cambria Math" w:hAnsi="Cambria Math"/>
                    </w:rPr>
                  </m:ctrlPr>
                </m:sub>
                <m:sup>
                  <m:r>
                    <m:rPr>
                      <m:sty m:val="bi"/>
                    </m:rPr>
                    <w:rPr>
                      <w:rFonts w:ascii="Cambria Math" w:hAnsi="Cambria Math"/>
                    </w:rPr>
                    <m:t>QCL</m:t>
                  </m:r>
                  <m:ctrlPr>
                    <w:rPr>
                      <w:rFonts w:ascii="Cambria Math" w:hAnsi="Cambria Math"/>
                    </w:rPr>
                  </m:ctrlPr>
                </m:sup>
              </m:sSubSup>
            </m:oMath>
          </w:p>
          <w:tbl>
            <w:tblPr>
              <w:tblStyle w:val="38"/>
              <w:tblW w:w="77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7"/>
              <w:gridCol w:w="3544"/>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bottom w:val="double" w:color="auto" w:sz="4" w:space="0"/>
                    <w:right w:val="double" w:color="auto" w:sz="4" w:space="0"/>
                  </w:tcBorders>
                  <w:shd w:val="clear" w:color="auto" w:fill="E0E0E0"/>
                  <w:vAlign w:val="center"/>
                </w:tcPr>
                <w:p>
                  <w:pPr>
                    <w:pStyle w:val="60"/>
                    <w:rPr>
                      <w:rFonts w:cs="Arial"/>
                      <w:bCs/>
                      <w:lang w:val="en-US"/>
                    </w:rPr>
                  </w:pPr>
                  <w:r>
                    <w:rPr>
                      <w:rFonts w:cs="Arial"/>
                      <w:i/>
                      <w:iCs/>
                    </w:rPr>
                    <w:t>subCarrierSpacingCommon</w:t>
                  </w:r>
                </w:p>
              </w:tc>
              <w:tc>
                <w:tcPr>
                  <w:tcW w:w="3544" w:type="dxa"/>
                  <w:tcBorders>
                    <w:left w:val="double" w:color="auto" w:sz="4" w:space="0"/>
                    <w:bottom w:val="double" w:color="auto" w:sz="4" w:space="0"/>
                  </w:tcBorders>
                  <w:shd w:val="clear" w:color="auto" w:fill="E0E0E0"/>
                  <w:vAlign w:val="center"/>
                </w:tcPr>
                <w:p>
                  <w:pPr>
                    <w:pStyle w:val="60"/>
                    <w:rPr>
                      <w:rFonts w:cs="Arial"/>
                      <w:bCs/>
                      <w:lang w:val="en-US"/>
                    </w:rPr>
                  </w:pPr>
                  <w:r>
                    <w:rPr>
                      <w:rFonts w:cs="Arial"/>
                    </w:rPr>
                    <w:t>LSB of</w:t>
                  </w:r>
                  <w:r>
                    <w:rPr>
                      <w:rFonts w:cs="Arial"/>
                      <w:i/>
                      <w:iCs/>
                    </w:rPr>
                    <w:t xml:space="preserve"> ssb-SubcarrierOffset</w:t>
                  </w:r>
                </w:p>
              </w:tc>
              <w:tc>
                <w:tcPr>
                  <w:tcW w:w="1556" w:type="dxa"/>
                  <w:tcBorders>
                    <w:bottom w:val="double" w:color="auto" w:sz="4" w:space="0"/>
                  </w:tcBorders>
                  <w:shd w:val="clear" w:color="auto" w:fill="E0E0E0"/>
                  <w:vAlign w:val="center"/>
                </w:tcPr>
                <w:p>
                  <w:pPr>
                    <w:pStyle w:val="60"/>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ctrlPr>
                            <w:rPr>
                              <w:rFonts w:ascii="Cambria Math" w:hAnsi="Cambria Math" w:cs="Arial"/>
                              <w:i/>
                            </w:rPr>
                          </m:ctrlPr>
                        </m:e>
                        <m:sub>
                          <m:r>
                            <m:rPr>
                              <m:sty m:val="bi"/>
                            </m:rPr>
                            <w:rPr>
                              <w:rFonts w:ascii="Cambria Math" w:hAnsi="Cambria Math" w:cs="Arial"/>
                            </w:rPr>
                            <m:t>SSB</m:t>
                          </m:r>
                          <m:ctrlPr>
                            <w:rPr>
                              <w:rFonts w:ascii="Cambria Math" w:hAnsi="Cambria Math" w:cs="Arial"/>
                              <w:i/>
                            </w:rPr>
                          </m:ctrlPr>
                        </m:sub>
                        <m:sup>
                          <m:r>
                            <m:rPr>
                              <m:sty m:val="bi"/>
                            </m:rPr>
                            <w:rPr>
                              <w:rFonts w:ascii="Cambria Math" w:hAnsi="Cambria Math" w:cs="Arial"/>
                            </w:rPr>
                            <m:t>QCL</m:t>
                          </m:r>
                          <m:ctrlPr>
                            <w:rPr>
                              <w:rFonts w:ascii="Cambria Math" w:hAnsi="Cambria Math" w:cs="Arial"/>
                              <w:i/>
                            </w:rPr>
                          </m:ctrlPr>
                        </m:sup>
                      </m:sSub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top w:val="double" w:color="auto" w:sz="4" w:space="0"/>
                    <w:right w:val="double" w:color="auto" w:sz="4" w:space="0"/>
                  </w:tcBorders>
                  <w:shd w:val="clear" w:color="auto" w:fill="auto"/>
                  <w:vAlign w:val="center"/>
                </w:tcPr>
                <w:p>
                  <w:pPr>
                    <w:pStyle w:val="61"/>
                    <w:rPr>
                      <w:lang w:val="en-US"/>
                    </w:rPr>
                  </w:pPr>
                  <w:r>
                    <w:t>scs15or60</w:t>
                  </w:r>
                </w:p>
              </w:tc>
              <w:tc>
                <w:tcPr>
                  <w:tcW w:w="3544" w:type="dxa"/>
                  <w:tcBorders>
                    <w:top w:val="double" w:color="auto" w:sz="4" w:space="0"/>
                    <w:left w:val="double" w:color="auto" w:sz="4" w:space="0"/>
                  </w:tcBorders>
                  <w:vAlign w:val="center"/>
                </w:tcPr>
                <w:p>
                  <w:pPr>
                    <w:pStyle w:val="61"/>
                    <w:rPr>
                      <w:lang w:val="en-US"/>
                    </w:rPr>
                  </w:pPr>
                  <w:r>
                    <w:rPr>
                      <w:lang w:val="en-US"/>
                    </w:rPr>
                    <w:t>0</w:t>
                  </w:r>
                </w:p>
              </w:tc>
              <w:tc>
                <w:tcPr>
                  <w:tcW w:w="1556" w:type="dxa"/>
                  <w:tcBorders>
                    <w:top w:val="double" w:color="auto" w:sz="4" w:space="0"/>
                  </w:tcBorders>
                  <w:vAlign w:val="center"/>
                </w:tcPr>
                <w:p>
                  <w:pPr>
                    <w:pStyle w:val="61"/>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right w:val="double" w:color="auto" w:sz="4" w:space="0"/>
                  </w:tcBorders>
                  <w:shd w:val="clear" w:color="auto" w:fill="auto"/>
                  <w:vAlign w:val="center"/>
                </w:tcPr>
                <w:p>
                  <w:pPr>
                    <w:pStyle w:val="61"/>
                    <w:rPr>
                      <w:lang w:val="en-US"/>
                    </w:rPr>
                  </w:pPr>
                  <w:r>
                    <w:t>scs15or60</w:t>
                  </w:r>
                </w:p>
              </w:tc>
              <w:tc>
                <w:tcPr>
                  <w:tcW w:w="3544" w:type="dxa"/>
                  <w:tcBorders>
                    <w:left w:val="double" w:color="auto" w:sz="4" w:space="0"/>
                  </w:tcBorders>
                  <w:vAlign w:val="center"/>
                </w:tcPr>
                <w:p>
                  <w:pPr>
                    <w:pStyle w:val="61"/>
                    <w:rPr>
                      <w:lang w:val="en-US"/>
                    </w:rPr>
                  </w:pPr>
                  <w:r>
                    <w:rPr>
                      <w:lang w:val="en-US"/>
                    </w:rPr>
                    <w:t>1</w:t>
                  </w:r>
                </w:p>
              </w:tc>
              <w:tc>
                <w:tcPr>
                  <w:tcW w:w="1556" w:type="dxa"/>
                  <w:vAlign w:val="center"/>
                </w:tcPr>
                <w:p>
                  <w:pPr>
                    <w:pStyle w:val="61"/>
                    <w:rPr>
                      <w:lang w:val="en-US"/>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right w:val="double" w:color="auto" w:sz="4" w:space="0"/>
                  </w:tcBorders>
                  <w:shd w:val="clear" w:color="auto" w:fill="auto"/>
                  <w:vAlign w:val="center"/>
                </w:tcPr>
                <w:p>
                  <w:pPr>
                    <w:pStyle w:val="61"/>
                  </w:pPr>
                  <w:r>
                    <w:t>scs30or120</w:t>
                  </w:r>
                </w:p>
              </w:tc>
              <w:tc>
                <w:tcPr>
                  <w:tcW w:w="3544" w:type="dxa"/>
                  <w:tcBorders>
                    <w:left w:val="double" w:color="auto" w:sz="4" w:space="0"/>
                  </w:tcBorders>
                  <w:vAlign w:val="center"/>
                </w:tcPr>
                <w:p>
                  <w:pPr>
                    <w:pStyle w:val="61"/>
                  </w:pPr>
                  <w:r>
                    <w:t>0</w:t>
                  </w:r>
                </w:p>
              </w:tc>
              <w:tc>
                <w:tcPr>
                  <w:tcW w:w="1556" w:type="dxa"/>
                  <w:vAlign w:val="center"/>
                </w:tcPr>
                <w:p>
                  <w:pPr>
                    <w:pStyle w:val="61"/>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07" w:type="dxa"/>
                  <w:tcBorders>
                    <w:right w:val="double" w:color="auto" w:sz="4" w:space="0"/>
                  </w:tcBorders>
                  <w:shd w:val="clear" w:color="auto" w:fill="auto"/>
                  <w:vAlign w:val="center"/>
                </w:tcPr>
                <w:p>
                  <w:pPr>
                    <w:pStyle w:val="61"/>
                  </w:pPr>
                  <w:r>
                    <w:t>scs30or120</w:t>
                  </w:r>
                </w:p>
              </w:tc>
              <w:tc>
                <w:tcPr>
                  <w:tcW w:w="3544" w:type="dxa"/>
                  <w:tcBorders>
                    <w:left w:val="double" w:color="auto" w:sz="4" w:space="0"/>
                  </w:tcBorders>
                  <w:vAlign w:val="center"/>
                </w:tcPr>
                <w:p>
                  <w:pPr>
                    <w:pStyle w:val="61"/>
                  </w:pPr>
                  <w:r>
                    <w:t>1</w:t>
                  </w:r>
                </w:p>
              </w:tc>
              <w:tc>
                <w:tcPr>
                  <w:tcW w:w="1556" w:type="dxa"/>
                  <w:vAlign w:val="center"/>
                </w:tcPr>
                <w:p>
                  <w:pPr>
                    <w:pStyle w:val="61"/>
                  </w:pPr>
                  <w:r>
                    <w:t>8</w:t>
                  </w:r>
                </w:p>
              </w:tc>
            </w:tr>
          </w:tbl>
          <w:p>
            <w:pPr>
              <w:widowControl w:val="0"/>
              <w:spacing w:after="0"/>
              <w:jc w:val="center"/>
              <w:rPr>
                <w:color w:val="FF0000"/>
                <w:sz w:val="20"/>
                <w:szCs w:val="20"/>
              </w:rPr>
            </w:pPr>
          </w:p>
          <w:p>
            <w:pPr>
              <w:pStyle w:val="168"/>
              <w:widowControl w:val="0"/>
              <w:jc w:val="center"/>
              <w:rPr>
                <w:rFonts w:ascii="Times New Roman" w:hAnsi="Times New Roman" w:eastAsiaTheme="minorEastAsia"/>
                <w:color w:val="C00000"/>
                <w:szCs w:val="20"/>
              </w:rPr>
            </w:pPr>
            <w:r>
              <w:rPr>
                <w:rFonts w:ascii="Times New Roman" w:hAnsi="Times New Roman" w:eastAsiaTheme="minorEastAsia"/>
                <w:color w:val="C00000"/>
                <w:szCs w:val="20"/>
              </w:rPr>
              <w:t>&lt; Unchanged parts are omitted &gt;</w:t>
            </w:r>
          </w:p>
          <w:p>
            <w:pPr>
              <w:widowControl w:val="0"/>
              <w:rPr>
                <w:sz w:val="20"/>
                <w:szCs w:val="20"/>
              </w:rPr>
            </w:pPr>
            <w:r>
              <w:rPr>
                <w:sz w:val="20"/>
                <w:szCs w:val="20"/>
              </w:rPr>
              <w:t>======================== End of TP</w:t>
            </w:r>
            <w:r>
              <w:rPr>
                <w:rFonts w:hint="eastAsia"/>
                <w:sz w:val="20"/>
                <w:szCs w:val="20"/>
                <w:lang w:val="en-US" w:eastAsia="zh-CN"/>
              </w:rPr>
              <w:t>#2</w:t>
            </w:r>
            <w:r>
              <w:rPr>
                <w:sz w:val="20"/>
                <w:szCs w:val="20"/>
              </w:rPr>
              <w:t xml:space="preserve"> ===============================</w:t>
            </w:r>
          </w:p>
        </w:tc>
      </w:tr>
    </w:tbl>
    <w:p>
      <w:pPr>
        <w:spacing w:after="0"/>
        <w:rPr>
          <w:sz w:val="20"/>
        </w:rPr>
      </w:pPr>
    </w:p>
    <w:p>
      <w:pPr>
        <w:spacing w:after="0"/>
        <w:rPr>
          <w:sz w:val="20"/>
        </w:rPr>
      </w:pPr>
    </w:p>
    <w:p>
      <w:pPr>
        <w:pStyle w:val="2"/>
        <w:rPr>
          <w:rFonts w:eastAsia="宋体"/>
          <w:sz w:val="32"/>
          <w:szCs w:val="32"/>
          <w:lang w:eastAsia="zh-CN"/>
        </w:rPr>
      </w:pPr>
      <w:r>
        <w:rPr>
          <w:rFonts w:eastAsia="宋体"/>
          <w:sz w:val="32"/>
          <w:szCs w:val="32"/>
          <w:lang w:eastAsia="zh-CN"/>
        </w:rPr>
        <w:t>Reference</w:t>
      </w:r>
    </w:p>
    <w:p>
      <w:r>
        <w:rPr>
          <w:rFonts w:eastAsia="宋体"/>
          <w:lang w:eastAsia="zh-CN"/>
        </w:rPr>
        <w:t>[1] R1-2007192, FL summary for initial access signals and channels for NR-U, Moderator (Qualcomm Incorporated)</w:t>
      </w:r>
    </w:p>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Trebuchet MS">
    <w:panose1 w:val="020B0603020202020204"/>
    <w:charset w:val="00"/>
    <w:family w:val="swiss"/>
    <w:pitch w:val="default"/>
    <w:sig w:usb0="00000287" w:usb1="00000000" w:usb2="00000000" w:usb3="00000000" w:csb0="2000009F" w:csb1="00000000"/>
  </w:font>
  <w:font w:name="Book Antiqua">
    <w:altName w:val="Segoe Print"/>
    <w:panose1 w:val="02040602050305030304"/>
    <w:charset w:val="00"/>
    <w:family w:val="roman"/>
    <w:pitch w:val="default"/>
    <w:sig w:usb0="00000000" w:usb1="00000000" w:usb2="00000000" w:usb3="00000000" w:csb0="0000009F" w:csb1="00000000"/>
  </w:font>
  <w:font w:name="CG Times (WN)">
    <w:altName w:val="Arial"/>
    <w:panose1 w:val="00000000000000000000"/>
    <w:charset w:val="00"/>
    <w:family w:val="roman"/>
    <w:pitch w:val="default"/>
    <w:sig w:usb0="00000000" w:usb1="00000000" w:usb2="00000000" w:usb3="00000000" w:csb0="00000001" w:csb1="00000000"/>
  </w:font>
  <w:font w:name="等线">
    <w:altName w:val="宋体"/>
    <w:panose1 w:val="00000000000000000000"/>
    <w:charset w:val="86"/>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0DC089"/>
    <w:multiLevelType w:val="singleLevel"/>
    <w:tmpl w:val="890DC089"/>
    <w:lvl w:ilvl="0" w:tentative="0">
      <w:start w:val="1"/>
      <w:numFmt w:val="bullet"/>
      <w:lvlText w:val=""/>
      <w:lvlJc w:val="left"/>
      <w:pPr>
        <w:ind w:left="420" w:hanging="420"/>
      </w:pPr>
      <w:rPr>
        <w:rFonts w:hint="default" w:ascii="Wingdings" w:hAnsi="Wingdings"/>
      </w:rPr>
    </w:lvl>
  </w:abstractNum>
  <w:abstractNum w:abstractNumId="1">
    <w:nsid w:val="FFFFFFFE"/>
    <w:multiLevelType w:val="singleLevel"/>
    <w:tmpl w:val="FFFFFFFE"/>
    <w:lvl w:ilvl="0" w:tentative="0">
      <w:start w:val="0"/>
      <w:numFmt w:val="decimal"/>
      <w:lvlText w:val="*"/>
      <w:lvlJc w:val="left"/>
    </w:lvl>
  </w:abstractNum>
  <w:abstractNum w:abstractNumId="2">
    <w:nsid w:val="1FBB0ABF"/>
    <w:multiLevelType w:val="multilevel"/>
    <w:tmpl w:val="1FBB0ABF"/>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lang w:val="en-GB"/>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4D9350C"/>
    <w:multiLevelType w:val="multilevel"/>
    <w:tmpl w:val="34D9350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3A877D64"/>
    <w:multiLevelType w:val="singleLevel"/>
    <w:tmpl w:val="3A877D64"/>
    <w:lvl w:ilvl="0" w:tentative="0">
      <w:start w:val="1"/>
      <w:numFmt w:val="decimal"/>
      <w:pStyle w:val="42"/>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7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74E1881"/>
    <w:multiLevelType w:val="multilevel"/>
    <w:tmpl w:val="574E1881"/>
    <w:lvl w:ilvl="0" w:tentative="0">
      <w:start w:val="8"/>
      <w:numFmt w:val="bullet"/>
      <w:pStyle w:val="81"/>
      <w:lvlText w:val=""/>
      <w:lvlJc w:val="left"/>
      <w:pPr>
        <w:ind w:left="1044" w:hanging="400"/>
      </w:pPr>
      <w:rPr>
        <w:rFonts w:hint="default" w:ascii="Wingdings" w:hAnsi="Wingdings" w:eastAsia="Batang"/>
      </w:rPr>
    </w:lvl>
    <w:lvl w:ilvl="1" w:tentative="0">
      <w:start w:val="1"/>
      <w:numFmt w:val="bullet"/>
      <w:pStyle w:val="82"/>
      <w:lvlText w:val="o"/>
      <w:lvlJc w:val="left"/>
      <w:pPr>
        <w:ind w:left="1444" w:hanging="400"/>
      </w:pPr>
      <w:rPr>
        <w:rFonts w:hint="default" w:ascii="Courier New" w:hAnsi="Courier New" w:cs="Courier New"/>
        <w:lang w:val="en-AU"/>
      </w:rPr>
    </w:lvl>
    <w:lvl w:ilvl="2" w:tentative="0">
      <w:start w:val="8"/>
      <w:numFmt w:val="bullet"/>
      <w:pStyle w:val="79"/>
      <w:lvlText w:val="-"/>
      <w:lvlJc w:val="left"/>
      <w:pPr>
        <w:ind w:left="1844" w:hanging="400"/>
      </w:pPr>
      <w:rPr>
        <w:rFonts w:hint="default" w:ascii="Times New Roman" w:hAnsi="Times New Roman" w:eastAsia="MS Mincho" w:cs="Times New Roman"/>
        <w:lang w:val="en-GB"/>
      </w:rPr>
    </w:lvl>
    <w:lvl w:ilvl="3" w:tentative="0">
      <w:start w:val="1"/>
      <w:numFmt w:val="bullet"/>
      <w:pStyle w:val="83"/>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0"/>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9">
    <w:nsid w:val="5F1912B1"/>
    <w:multiLevelType w:val="multilevel"/>
    <w:tmpl w:val="5F1912B1"/>
    <w:lvl w:ilvl="0" w:tentative="0">
      <w:start w:val="1"/>
      <w:numFmt w:val="bullet"/>
      <w:pStyle w:val="153"/>
      <w:lvlText w:val=""/>
      <w:lvlJc w:val="left"/>
      <w:pPr>
        <w:ind w:left="720" w:hanging="360"/>
      </w:pPr>
      <w:rPr>
        <w:rFonts w:hint="default" w:ascii="Symbol" w:hAnsi="Symbol"/>
      </w:rPr>
    </w:lvl>
    <w:lvl w:ilvl="1" w:tentative="0">
      <w:start w:val="1"/>
      <w:numFmt w:val="bullet"/>
      <w:pStyle w:val="154"/>
      <w:lvlText w:val="o"/>
      <w:lvlJc w:val="left"/>
      <w:pPr>
        <w:ind w:left="1440" w:hanging="360"/>
      </w:pPr>
      <w:rPr>
        <w:rFonts w:hint="default" w:ascii="Courier New" w:hAnsi="Courier New" w:cs="Courier New"/>
      </w:rPr>
    </w:lvl>
    <w:lvl w:ilvl="2" w:tentative="0">
      <w:start w:val="1"/>
      <w:numFmt w:val="bullet"/>
      <w:pStyle w:val="156"/>
      <w:lvlText w:val=""/>
      <w:lvlJc w:val="left"/>
      <w:pPr>
        <w:ind w:left="2160" w:hanging="360"/>
      </w:pPr>
      <w:rPr>
        <w:rFonts w:hint="default" w:ascii="Wingdings" w:hAnsi="Wingdings"/>
      </w:rPr>
    </w:lvl>
    <w:lvl w:ilvl="3" w:tentative="0">
      <w:start w:val="1"/>
      <w:numFmt w:val="bullet"/>
      <w:pStyle w:val="157"/>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58"/>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E70B81"/>
    <w:multiLevelType w:val="multilevel"/>
    <w:tmpl w:val="70E70B81"/>
    <w:lvl w:ilvl="0" w:tentative="0">
      <w:start w:val="1"/>
      <w:numFmt w:val="bullet"/>
      <w:lvlText w:val="•"/>
      <w:lvlJc w:val="left"/>
      <w:pPr>
        <w:ind w:left="420" w:hanging="420"/>
      </w:pPr>
      <w:rPr>
        <w:rFonts w:hint="default" w:ascii="Times New Roman" w:hAnsi="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Times New Roman" w:hAnsi="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5"/>
  </w:num>
  <w:num w:numId="3">
    <w:abstractNumId w:val="10"/>
  </w:num>
  <w:num w:numId="4">
    <w:abstractNumId w:val="6"/>
  </w:num>
  <w:num w:numId="5">
    <w:abstractNumId w:val="8"/>
  </w:num>
  <w:num w:numId="6">
    <w:abstractNumId w:val="7"/>
  </w:num>
  <w:num w:numId="7">
    <w:abstractNumId w:val="1"/>
    <w:lvlOverride w:ilvl="0">
      <w:lvl w:ilvl="0" w:tentative="1">
        <w:start w:val="1"/>
        <w:numFmt w:val="bullet"/>
        <w:pStyle w:val="146"/>
        <w:lvlText w:val=""/>
        <w:legacy w:legacy="1" w:legacySpace="0" w:legacyIndent="360"/>
        <w:lvlJc w:val="left"/>
        <w:pPr>
          <w:ind w:left="360" w:hanging="360"/>
        </w:pPr>
        <w:rPr>
          <w:rFonts w:hint="default" w:ascii="Symbol" w:hAnsi="Symbol"/>
        </w:rPr>
      </w:lvl>
    </w:lvlOverride>
  </w:num>
  <w:num w:numId="8">
    <w:abstractNumId w:val="9"/>
  </w:num>
  <w:num w:numId="9">
    <w:abstractNumId w:val="0"/>
  </w:num>
  <w:num w:numId="10">
    <w:abstractNumId w:val="11"/>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464"/>
    <w:rsid w:val="00001666"/>
    <w:rsid w:val="0000186C"/>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D7A"/>
    <w:rsid w:val="00011E9B"/>
    <w:rsid w:val="00011F67"/>
    <w:rsid w:val="00011FBB"/>
    <w:rsid w:val="00012212"/>
    <w:rsid w:val="000126D1"/>
    <w:rsid w:val="00012862"/>
    <w:rsid w:val="000128E6"/>
    <w:rsid w:val="00012BA5"/>
    <w:rsid w:val="00012E6B"/>
    <w:rsid w:val="00012E86"/>
    <w:rsid w:val="000132FF"/>
    <w:rsid w:val="000141AA"/>
    <w:rsid w:val="000141FC"/>
    <w:rsid w:val="00014625"/>
    <w:rsid w:val="00014D15"/>
    <w:rsid w:val="00014D1D"/>
    <w:rsid w:val="0001532A"/>
    <w:rsid w:val="000155E3"/>
    <w:rsid w:val="00015DC6"/>
    <w:rsid w:val="00015EFB"/>
    <w:rsid w:val="000161F0"/>
    <w:rsid w:val="000164D2"/>
    <w:rsid w:val="000165E2"/>
    <w:rsid w:val="00016B0E"/>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0969"/>
    <w:rsid w:val="00021047"/>
    <w:rsid w:val="0002174C"/>
    <w:rsid w:val="000221B2"/>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268"/>
    <w:rsid w:val="0003032B"/>
    <w:rsid w:val="0003042E"/>
    <w:rsid w:val="0003078C"/>
    <w:rsid w:val="00030860"/>
    <w:rsid w:val="00030ED5"/>
    <w:rsid w:val="00031115"/>
    <w:rsid w:val="00031521"/>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5D8"/>
    <w:rsid w:val="00037988"/>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B16"/>
    <w:rsid w:val="00044F77"/>
    <w:rsid w:val="000456A4"/>
    <w:rsid w:val="0004571E"/>
    <w:rsid w:val="000458C6"/>
    <w:rsid w:val="00045A32"/>
    <w:rsid w:val="00045DC5"/>
    <w:rsid w:val="00045FF1"/>
    <w:rsid w:val="000461C6"/>
    <w:rsid w:val="00046316"/>
    <w:rsid w:val="00046477"/>
    <w:rsid w:val="00046734"/>
    <w:rsid w:val="00046796"/>
    <w:rsid w:val="000467FD"/>
    <w:rsid w:val="00046AAF"/>
    <w:rsid w:val="00046ABF"/>
    <w:rsid w:val="00046F28"/>
    <w:rsid w:val="00047225"/>
    <w:rsid w:val="0004732F"/>
    <w:rsid w:val="00047443"/>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3CDF"/>
    <w:rsid w:val="000549E7"/>
    <w:rsid w:val="00054E0C"/>
    <w:rsid w:val="00055060"/>
    <w:rsid w:val="000552D8"/>
    <w:rsid w:val="0005541D"/>
    <w:rsid w:val="000556DF"/>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4E4"/>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CB5"/>
    <w:rsid w:val="00065D38"/>
    <w:rsid w:val="0006645B"/>
    <w:rsid w:val="000665A0"/>
    <w:rsid w:val="00066757"/>
    <w:rsid w:val="00066C45"/>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5FD3"/>
    <w:rsid w:val="00076097"/>
    <w:rsid w:val="000760B5"/>
    <w:rsid w:val="000763B6"/>
    <w:rsid w:val="00076541"/>
    <w:rsid w:val="00076658"/>
    <w:rsid w:val="00076864"/>
    <w:rsid w:val="0007687A"/>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1"/>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800"/>
    <w:rsid w:val="00086913"/>
    <w:rsid w:val="00086E08"/>
    <w:rsid w:val="00087196"/>
    <w:rsid w:val="000871A1"/>
    <w:rsid w:val="000878A1"/>
    <w:rsid w:val="00087913"/>
    <w:rsid w:val="0008796E"/>
    <w:rsid w:val="00087C53"/>
    <w:rsid w:val="00087C92"/>
    <w:rsid w:val="000902DC"/>
    <w:rsid w:val="000904AE"/>
    <w:rsid w:val="00090C1E"/>
    <w:rsid w:val="00090DF8"/>
    <w:rsid w:val="00090EF8"/>
    <w:rsid w:val="00091145"/>
    <w:rsid w:val="000911AE"/>
    <w:rsid w:val="00092379"/>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6B"/>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384"/>
    <w:rsid w:val="000B25F8"/>
    <w:rsid w:val="000B2771"/>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C74"/>
    <w:rsid w:val="000B5FAB"/>
    <w:rsid w:val="000B5FE9"/>
    <w:rsid w:val="000B638C"/>
    <w:rsid w:val="000B6E2C"/>
    <w:rsid w:val="000B7013"/>
    <w:rsid w:val="000B704D"/>
    <w:rsid w:val="000B76C5"/>
    <w:rsid w:val="000B7A10"/>
    <w:rsid w:val="000B7AE8"/>
    <w:rsid w:val="000B7FA5"/>
    <w:rsid w:val="000C00FE"/>
    <w:rsid w:val="000C06C4"/>
    <w:rsid w:val="000C06C9"/>
    <w:rsid w:val="000C115D"/>
    <w:rsid w:val="000C126F"/>
    <w:rsid w:val="000C1535"/>
    <w:rsid w:val="000C1820"/>
    <w:rsid w:val="000C198E"/>
    <w:rsid w:val="000C1ABB"/>
    <w:rsid w:val="000C2384"/>
    <w:rsid w:val="000C24EF"/>
    <w:rsid w:val="000C252B"/>
    <w:rsid w:val="000C2878"/>
    <w:rsid w:val="000C2FBD"/>
    <w:rsid w:val="000C311A"/>
    <w:rsid w:val="000C3496"/>
    <w:rsid w:val="000C35E9"/>
    <w:rsid w:val="000C3618"/>
    <w:rsid w:val="000C3B0C"/>
    <w:rsid w:val="000C3CC1"/>
    <w:rsid w:val="000C3E85"/>
    <w:rsid w:val="000C3F42"/>
    <w:rsid w:val="000C422D"/>
    <w:rsid w:val="000C4237"/>
    <w:rsid w:val="000C443D"/>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ABE"/>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A34"/>
    <w:rsid w:val="000D6C4E"/>
    <w:rsid w:val="000D70EA"/>
    <w:rsid w:val="000D71E2"/>
    <w:rsid w:val="000D73A5"/>
    <w:rsid w:val="000D758D"/>
    <w:rsid w:val="000D7794"/>
    <w:rsid w:val="000D791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5E01"/>
    <w:rsid w:val="000E630E"/>
    <w:rsid w:val="000E6A2B"/>
    <w:rsid w:val="000E6B13"/>
    <w:rsid w:val="000E704C"/>
    <w:rsid w:val="000E71FE"/>
    <w:rsid w:val="000E7347"/>
    <w:rsid w:val="000E7466"/>
    <w:rsid w:val="000E7621"/>
    <w:rsid w:val="000E7A84"/>
    <w:rsid w:val="000F048E"/>
    <w:rsid w:val="000F0560"/>
    <w:rsid w:val="000F0838"/>
    <w:rsid w:val="000F125E"/>
    <w:rsid w:val="000F1385"/>
    <w:rsid w:val="000F13C3"/>
    <w:rsid w:val="000F1511"/>
    <w:rsid w:val="000F15BC"/>
    <w:rsid w:val="000F180A"/>
    <w:rsid w:val="000F1C92"/>
    <w:rsid w:val="000F2EEE"/>
    <w:rsid w:val="000F3153"/>
    <w:rsid w:val="000F3645"/>
    <w:rsid w:val="000F3697"/>
    <w:rsid w:val="000F3EC9"/>
    <w:rsid w:val="000F43EA"/>
    <w:rsid w:val="000F502D"/>
    <w:rsid w:val="000F5253"/>
    <w:rsid w:val="000F5288"/>
    <w:rsid w:val="000F5301"/>
    <w:rsid w:val="000F5AA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30"/>
    <w:rsid w:val="001027D0"/>
    <w:rsid w:val="00102913"/>
    <w:rsid w:val="00102D7E"/>
    <w:rsid w:val="00102F82"/>
    <w:rsid w:val="0010321E"/>
    <w:rsid w:val="00103443"/>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A06"/>
    <w:rsid w:val="00111DFD"/>
    <w:rsid w:val="00111F8A"/>
    <w:rsid w:val="001129B5"/>
    <w:rsid w:val="00112ADB"/>
    <w:rsid w:val="00112ADD"/>
    <w:rsid w:val="00112EC5"/>
    <w:rsid w:val="00113030"/>
    <w:rsid w:val="00113401"/>
    <w:rsid w:val="00113E9B"/>
    <w:rsid w:val="001141E3"/>
    <w:rsid w:val="001144DF"/>
    <w:rsid w:val="00115003"/>
    <w:rsid w:val="001151B4"/>
    <w:rsid w:val="001151E3"/>
    <w:rsid w:val="0011557B"/>
    <w:rsid w:val="00115B1C"/>
    <w:rsid w:val="00115D80"/>
    <w:rsid w:val="00115F04"/>
    <w:rsid w:val="00116750"/>
    <w:rsid w:val="00116908"/>
    <w:rsid w:val="001169D1"/>
    <w:rsid w:val="00116EBA"/>
    <w:rsid w:val="00117948"/>
    <w:rsid w:val="00117C18"/>
    <w:rsid w:val="00117C85"/>
    <w:rsid w:val="00117D82"/>
    <w:rsid w:val="0012042C"/>
    <w:rsid w:val="00120A40"/>
    <w:rsid w:val="00120B13"/>
    <w:rsid w:val="00120FA7"/>
    <w:rsid w:val="0012125B"/>
    <w:rsid w:val="00121506"/>
    <w:rsid w:val="001217AB"/>
    <w:rsid w:val="001217FB"/>
    <w:rsid w:val="00121AAA"/>
    <w:rsid w:val="00121C47"/>
    <w:rsid w:val="00121CB3"/>
    <w:rsid w:val="001220E9"/>
    <w:rsid w:val="0012279D"/>
    <w:rsid w:val="001229F8"/>
    <w:rsid w:val="00122DA2"/>
    <w:rsid w:val="001233C0"/>
    <w:rsid w:val="0012371F"/>
    <w:rsid w:val="00123CA0"/>
    <w:rsid w:val="00124085"/>
    <w:rsid w:val="001246A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6CC4"/>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9CC"/>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7D6"/>
    <w:rsid w:val="00137881"/>
    <w:rsid w:val="00137D4B"/>
    <w:rsid w:val="0014022E"/>
    <w:rsid w:val="00140245"/>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6D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5F90"/>
    <w:rsid w:val="001462E9"/>
    <w:rsid w:val="0014666B"/>
    <w:rsid w:val="001467D5"/>
    <w:rsid w:val="00146E32"/>
    <w:rsid w:val="00146E6B"/>
    <w:rsid w:val="00146EDF"/>
    <w:rsid w:val="0014708B"/>
    <w:rsid w:val="00147E3C"/>
    <w:rsid w:val="00150AE1"/>
    <w:rsid w:val="00150EAF"/>
    <w:rsid w:val="00151249"/>
    <w:rsid w:val="00151619"/>
    <w:rsid w:val="00151840"/>
    <w:rsid w:val="00151C68"/>
    <w:rsid w:val="00151E1C"/>
    <w:rsid w:val="0015254B"/>
    <w:rsid w:val="00152835"/>
    <w:rsid w:val="00152AB0"/>
    <w:rsid w:val="00152BF2"/>
    <w:rsid w:val="00152C5B"/>
    <w:rsid w:val="00152E6D"/>
    <w:rsid w:val="00152EE4"/>
    <w:rsid w:val="00153027"/>
    <w:rsid w:val="00153194"/>
    <w:rsid w:val="0015322D"/>
    <w:rsid w:val="00153319"/>
    <w:rsid w:val="0015386D"/>
    <w:rsid w:val="00153A26"/>
    <w:rsid w:val="00153CFB"/>
    <w:rsid w:val="0015402C"/>
    <w:rsid w:val="00154252"/>
    <w:rsid w:val="001547EC"/>
    <w:rsid w:val="00154B79"/>
    <w:rsid w:val="0015500A"/>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B9B"/>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590"/>
    <w:rsid w:val="00167952"/>
    <w:rsid w:val="00167C0E"/>
    <w:rsid w:val="00167D3E"/>
    <w:rsid w:val="00170159"/>
    <w:rsid w:val="00170451"/>
    <w:rsid w:val="00170D00"/>
    <w:rsid w:val="00170D31"/>
    <w:rsid w:val="00170E98"/>
    <w:rsid w:val="001710A5"/>
    <w:rsid w:val="00171143"/>
    <w:rsid w:val="00171C7B"/>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4D70"/>
    <w:rsid w:val="001750CE"/>
    <w:rsid w:val="00175113"/>
    <w:rsid w:val="00175453"/>
    <w:rsid w:val="001754BA"/>
    <w:rsid w:val="001754CD"/>
    <w:rsid w:val="00175870"/>
    <w:rsid w:val="001758BF"/>
    <w:rsid w:val="00175C30"/>
    <w:rsid w:val="00175D33"/>
    <w:rsid w:val="00175DA9"/>
    <w:rsid w:val="001760C1"/>
    <w:rsid w:val="00176532"/>
    <w:rsid w:val="00176682"/>
    <w:rsid w:val="00176DD1"/>
    <w:rsid w:val="00176FBE"/>
    <w:rsid w:val="00177069"/>
    <w:rsid w:val="0017720B"/>
    <w:rsid w:val="0017756A"/>
    <w:rsid w:val="00177AC1"/>
    <w:rsid w:val="00177C9C"/>
    <w:rsid w:val="00177FC1"/>
    <w:rsid w:val="0018006A"/>
    <w:rsid w:val="001800A5"/>
    <w:rsid w:val="0018014A"/>
    <w:rsid w:val="001802FC"/>
    <w:rsid w:val="0018032E"/>
    <w:rsid w:val="001804A6"/>
    <w:rsid w:val="00180521"/>
    <w:rsid w:val="0018067A"/>
    <w:rsid w:val="0018072F"/>
    <w:rsid w:val="001807E9"/>
    <w:rsid w:val="00180A64"/>
    <w:rsid w:val="00180A74"/>
    <w:rsid w:val="00180BD9"/>
    <w:rsid w:val="00181068"/>
    <w:rsid w:val="001810B3"/>
    <w:rsid w:val="001814C4"/>
    <w:rsid w:val="001815A2"/>
    <w:rsid w:val="00181C77"/>
    <w:rsid w:val="00181FC1"/>
    <w:rsid w:val="001820D8"/>
    <w:rsid w:val="001823B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5B5"/>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2E4"/>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65C"/>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4A95"/>
    <w:rsid w:val="001A51F4"/>
    <w:rsid w:val="001A586D"/>
    <w:rsid w:val="001A5D29"/>
    <w:rsid w:val="001A6014"/>
    <w:rsid w:val="001A64C0"/>
    <w:rsid w:val="001A6508"/>
    <w:rsid w:val="001A65C5"/>
    <w:rsid w:val="001A673E"/>
    <w:rsid w:val="001A678E"/>
    <w:rsid w:val="001A6A85"/>
    <w:rsid w:val="001A6F91"/>
    <w:rsid w:val="001A7763"/>
    <w:rsid w:val="001A77E1"/>
    <w:rsid w:val="001A784E"/>
    <w:rsid w:val="001A7AEF"/>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749"/>
    <w:rsid w:val="001B4854"/>
    <w:rsid w:val="001B4868"/>
    <w:rsid w:val="001B4BF4"/>
    <w:rsid w:val="001B4E89"/>
    <w:rsid w:val="001B4F34"/>
    <w:rsid w:val="001B515F"/>
    <w:rsid w:val="001B5177"/>
    <w:rsid w:val="001B52EC"/>
    <w:rsid w:val="001B554A"/>
    <w:rsid w:val="001B55C3"/>
    <w:rsid w:val="001B5701"/>
    <w:rsid w:val="001B58AD"/>
    <w:rsid w:val="001B6564"/>
    <w:rsid w:val="001B691A"/>
    <w:rsid w:val="001B6BCD"/>
    <w:rsid w:val="001B6C0F"/>
    <w:rsid w:val="001B7385"/>
    <w:rsid w:val="001B747B"/>
    <w:rsid w:val="001B7AE9"/>
    <w:rsid w:val="001C02D8"/>
    <w:rsid w:val="001C02E3"/>
    <w:rsid w:val="001C04E3"/>
    <w:rsid w:val="001C1332"/>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3CA"/>
    <w:rsid w:val="001C458B"/>
    <w:rsid w:val="001C459C"/>
    <w:rsid w:val="001C4BC8"/>
    <w:rsid w:val="001C4BD5"/>
    <w:rsid w:val="001C4DBA"/>
    <w:rsid w:val="001C56C7"/>
    <w:rsid w:val="001C5A1F"/>
    <w:rsid w:val="001C5D0C"/>
    <w:rsid w:val="001C5D4F"/>
    <w:rsid w:val="001C60F0"/>
    <w:rsid w:val="001C6243"/>
    <w:rsid w:val="001C64C0"/>
    <w:rsid w:val="001C677C"/>
    <w:rsid w:val="001C67D4"/>
    <w:rsid w:val="001C68C9"/>
    <w:rsid w:val="001C692C"/>
    <w:rsid w:val="001C69DA"/>
    <w:rsid w:val="001C6AB1"/>
    <w:rsid w:val="001C6BE8"/>
    <w:rsid w:val="001C6F06"/>
    <w:rsid w:val="001C745D"/>
    <w:rsid w:val="001C77D7"/>
    <w:rsid w:val="001C7A3D"/>
    <w:rsid w:val="001C7B86"/>
    <w:rsid w:val="001C7EF4"/>
    <w:rsid w:val="001D0064"/>
    <w:rsid w:val="001D007E"/>
    <w:rsid w:val="001D025B"/>
    <w:rsid w:val="001D043A"/>
    <w:rsid w:val="001D06C4"/>
    <w:rsid w:val="001D0C4D"/>
    <w:rsid w:val="001D1335"/>
    <w:rsid w:val="001D1410"/>
    <w:rsid w:val="001D178B"/>
    <w:rsid w:val="001D17E9"/>
    <w:rsid w:val="001D2360"/>
    <w:rsid w:val="001D2711"/>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200"/>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03C"/>
    <w:rsid w:val="001E5738"/>
    <w:rsid w:val="001E5B45"/>
    <w:rsid w:val="001E5C23"/>
    <w:rsid w:val="001E5E0C"/>
    <w:rsid w:val="001E653C"/>
    <w:rsid w:val="001E69E6"/>
    <w:rsid w:val="001E6BCA"/>
    <w:rsid w:val="001E6F30"/>
    <w:rsid w:val="001E7504"/>
    <w:rsid w:val="001E76DF"/>
    <w:rsid w:val="001E7F5D"/>
    <w:rsid w:val="001F002A"/>
    <w:rsid w:val="001F00F9"/>
    <w:rsid w:val="001F020C"/>
    <w:rsid w:val="001F0277"/>
    <w:rsid w:val="001F03C3"/>
    <w:rsid w:val="001F072A"/>
    <w:rsid w:val="001F0D20"/>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CB4"/>
    <w:rsid w:val="001F5D73"/>
    <w:rsid w:val="001F5E1D"/>
    <w:rsid w:val="001F665E"/>
    <w:rsid w:val="001F6AD6"/>
    <w:rsid w:val="001F6BC8"/>
    <w:rsid w:val="001F6D3B"/>
    <w:rsid w:val="001F70A4"/>
    <w:rsid w:val="001F7121"/>
    <w:rsid w:val="001F7982"/>
    <w:rsid w:val="001F7C9D"/>
    <w:rsid w:val="001F7CF1"/>
    <w:rsid w:val="002000A0"/>
    <w:rsid w:val="00200322"/>
    <w:rsid w:val="0020050C"/>
    <w:rsid w:val="002005AA"/>
    <w:rsid w:val="00200A31"/>
    <w:rsid w:val="00200D2C"/>
    <w:rsid w:val="0020132D"/>
    <w:rsid w:val="00201368"/>
    <w:rsid w:val="00201922"/>
    <w:rsid w:val="002019D8"/>
    <w:rsid w:val="00201CCE"/>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444"/>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2B"/>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197"/>
    <w:rsid w:val="002266CD"/>
    <w:rsid w:val="002266E4"/>
    <w:rsid w:val="0022672A"/>
    <w:rsid w:val="00226827"/>
    <w:rsid w:val="00226D3D"/>
    <w:rsid w:val="00227003"/>
    <w:rsid w:val="0022716A"/>
    <w:rsid w:val="002273FB"/>
    <w:rsid w:val="00227943"/>
    <w:rsid w:val="002300B1"/>
    <w:rsid w:val="00230233"/>
    <w:rsid w:val="00230573"/>
    <w:rsid w:val="00230618"/>
    <w:rsid w:val="00230993"/>
    <w:rsid w:val="00230B1C"/>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4F9F"/>
    <w:rsid w:val="00235347"/>
    <w:rsid w:val="00235542"/>
    <w:rsid w:val="002357F3"/>
    <w:rsid w:val="00235830"/>
    <w:rsid w:val="002359A4"/>
    <w:rsid w:val="00235DC6"/>
    <w:rsid w:val="00235E6D"/>
    <w:rsid w:val="00235EB6"/>
    <w:rsid w:val="002361EF"/>
    <w:rsid w:val="002364E6"/>
    <w:rsid w:val="00236911"/>
    <w:rsid w:val="00236921"/>
    <w:rsid w:val="00236925"/>
    <w:rsid w:val="002369B0"/>
    <w:rsid w:val="00236AD8"/>
    <w:rsid w:val="00236EF8"/>
    <w:rsid w:val="00237007"/>
    <w:rsid w:val="002373F2"/>
    <w:rsid w:val="00237EC6"/>
    <w:rsid w:val="002400D4"/>
    <w:rsid w:val="002401F5"/>
    <w:rsid w:val="002403E4"/>
    <w:rsid w:val="00240482"/>
    <w:rsid w:val="00240816"/>
    <w:rsid w:val="00240CA2"/>
    <w:rsid w:val="00240D29"/>
    <w:rsid w:val="00240E54"/>
    <w:rsid w:val="00241D13"/>
    <w:rsid w:val="0024208B"/>
    <w:rsid w:val="002422AE"/>
    <w:rsid w:val="002429EE"/>
    <w:rsid w:val="00242F02"/>
    <w:rsid w:val="0024309D"/>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C06"/>
    <w:rsid w:val="00251F81"/>
    <w:rsid w:val="00251F8E"/>
    <w:rsid w:val="0025233B"/>
    <w:rsid w:val="00252782"/>
    <w:rsid w:val="00252935"/>
    <w:rsid w:val="00252BE0"/>
    <w:rsid w:val="00252C3E"/>
    <w:rsid w:val="00252D91"/>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97F"/>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077"/>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234"/>
    <w:rsid w:val="00272556"/>
    <w:rsid w:val="00272594"/>
    <w:rsid w:val="002726D8"/>
    <w:rsid w:val="00272A0E"/>
    <w:rsid w:val="00272ADD"/>
    <w:rsid w:val="00272B03"/>
    <w:rsid w:val="00272C04"/>
    <w:rsid w:val="00272E1B"/>
    <w:rsid w:val="002732BE"/>
    <w:rsid w:val="002733E2"/>
    <w:rsid w:val="00273C30"/>
    <w:rsid w:val="00273D64"/>
    <w:rsid w:val="00273EFE"/>
    <w:rsid w:val="00273FDE"/>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8B8"/>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63"/>
    <w:rsid w:val="002921A0"/>
    <w:rsid w:val="0029237F"/>
    <w:rsid w:val="00292715"/>
    <w:rsid w:val="00292E62"/>
    <w:rsid w:val="00293325"/>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83"/>
    <w:rsid w:val="002A1E92"/>
    <w:rsid w:val="002A1F80"/>
    <w:rsid w:val="002A204D"/>
    <w:rsid w:val="002A22F5"/>
    <w:rsid w:val="002A2616"/>
    <w:rsid w:val="002A26E1"/>
    <w:rsid w:val="002A2C2C"/>
    <w:rsid w:val="002A2F64"/>
    <w:rsid w:val="002A31FB"/>
    <w:rsid w:val="002A3413"/>
    <w:rsid w:val="002A3664"/>
    <w:rsid w:val="002A368A"/>
    <w:rsid w:val="002A3A59"/>
    <w:rsid w:val="002A3FD2"/>
    <w:rsid w:val="002A4065"/>
    <w:rsid w:val="002A407B"/>
    <w:rsid w:val="002A4442"/>
    <w:rsid w:val="002A4537"/>
    <w:rsid w:val="002A47BD"/>
    <w:rsid w:val="002A4A7D"/>
    <w:rsid w:val="002A4C8A"/>
    <w:rsid w:val="002A4CE5"/>
    <w:rsid w:val="002A4D6D"/>
    <w:rsid w:val="002A5294"/>
    <w:rsid w:val="002A5307"/>
    <w:rsid w:val="002A551F"/>
    <w:rsid w:val="002A59F0"/>
    <w:rsid w:val="002A5DC0"/>
    <w:rsid w:val="002A5F6B"/>
    <w:rsid w:val="002A6432"/>
    <w:rsid w:val="002A64A7"/>
    <w:rsid w:val="002A6ABE"/>
    <w:rsid w:val="002A6AE0"/>
    <w:rsid w:val="002A6C16"/>
    <w:rsid w:val="002A6F25"/>
    <w:rsid w:val="002A6FD3"/>
    <w:rsid w:val="002A7136"/>
    <w:rsid w:val="002A75E4"/>
    <w:rsid w:val="002A7CDB"/>
    <w:rsid w:val="002A7D09"/>
    <w:rsid w:val="002A7D32"/>
    <w:rsid w:val="002A7FB0"/>
    <w:rsid w:val="002B0047"/>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98F"/>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8CB"/>
    <w:rsid w:val="002C099C"/>
    <w:rsid w:val="002C0B74"/>
    <w:rsid w:val="002C0C8B"/>
    <w:rsid w:val="002C0CBB"/>
    <w:rsid w:val="002C1059"/>
    <w:rsid w:val="002C114D"/>
    <w:rsid w:val="002C1201"/>
    <w:rsid w:val="002C1460"/>
    <w:rsid w:val="002C14B8"/>
    <w:rsid w:val="002C157E"/>
    <w:rsid w:val="002C17DE"/>
    <w:rsid w:val="002C1DBB"/>
    <w:rsid w:val="002C20F2"/>
    <w:rsid w:val="002C2751"/>
    <w:rsid w:val="002C2E4E"/>
    <w:rsid w:val="002C3056"/>
    <w:rsid w:val="002C316B"/>
    <w:rsid w:val="002C31E4"/>
    <w:rsid w:val="002C3354"/>
    <w:rsid w:val="002C35B8"/>
    <w:rsid w:val="002C35E0"/>
    <w:rsid w:val="002C37C0"/>
    <w:rsid w:val="002C38B2"/>
    <w:rsid w:val="002C3E3E"/>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C75"/>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C9"/>
    <w:rsid w:val="002D43F5"/>
    <w:rsid w:val="002D4EE8"/>
    <w:rsid w:val="002D4F75"/>
    <w:rsid w:val="002D512C"/>
    <w:rsid w:val="002D538B"/>
    <w:rsid w:val="002D55F5"/>
    <w:rsid w:val="002D5675"/>
    <w:rsid w:val="002D56D5"/>
    <w:rsid w:val="002D5738"/>
    <w:rsid w:val="002D5B60"/>
    <w:rsid w:val="002D5D98"/>
    <w:rsid w:val="002D5E53"/>
    <w:rsid w:val="002D60EF"/>
    <w:rsid w:val="002D6298"/>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BAC"/>
    <w:rsid w:val="002E0DB9"/>
    <w:rsid w:val="002E0DDB"/>
    <w:rsid w:val="002E0E60"/>
    <w:rsid w:val="002E0EF2"/>
    <w:rsid w:val="002E0F84"/>
    <w:rsid w:val="002E1107"/>
    <w:rsid w:val="002E148C"/>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6F0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6E0"/>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B48"/>
    <w:rsid w:val="00304D20"/>
    <w:rsid w:val="00304D9B"/>
    <w:rsid w:val="00305079"/>
    <w:rsid w:val="003057F7"/>
    <w:rsid w:val="003058F8"/>
    <w:rsid w:val="00305FF9"/>
    <w:rsid w:val="00306690"/>
    <w:rsid w:val="00306752"/>
    <w:rsid w:val="00306B39"/>
    <w:rsid w:val="00306C36"/>
    <w:rsid w:val="00306CD1"/>
    <w:rsid w:val="00306D39"/>
    <w:rsid w:val="00306E3C"/>
    <w:rsid w:val="00306E6B"/>
    <w:rsid w:val="00306ECB"/>
    <w:rsid w:val="003072F2"/>
    <w:rsid w:val="003074A6"/>
    <w:rsid w:val="003077F5"/>
    <w:rsid w:val="00307A4D"/>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553"/>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B88"/>
    <w:rsid w:val="00323C30"/>
    <w:rsid w:val="00323D6B"/>
    <w:rsid w:val="00323DF6"/>
    <w:rsid w:val="00323EC4"/>
    <w:rsid w:val="00323FA5"/>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3F2D"/>
    <w:rsid w:val="00334406"/>
    <w:rsid w:val="003344AF"/>
    <w:rsid w:val="00334511"/>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B"/>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0E2"/>
    <w:rsid w:val="0034429B"/>
    <w:rsid w:val="00344482"/>
    <w:rsid w:val="0034466A"/>
    <w:rsid w:val="00344866"/>
    <w:rsid w:val="00344B0C"/>
    <w:rsid w:val="003450DA"/>
    <w:rsid w:val="003451E2"/>
    <w:rsid w:val="00345895"/>
    <w:rsid w:val="00345FA4"/>
    <w:rsid w:val="0034638C"/>
    <w:rsid w:val="0034644C"/>
    <w:rsid w:val="00346797"/>
    <w:rsid w:val="00346E18"/>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57B71"/>
    <w:rsid w:val="00357FD6"/>
    <w:rsid w:val="003600AA"/>
    <w:rsid w:val="003600C4"/>
    <w:rsid w:val="00360232"/>
    <w:rsid w:val="003602E0"/>
    <w:rsid w:val="00360D01"/>
    <w:rsid w:val="00360EA5"/>
    <w:rsid w:val="003610FB"/>
    <w:rsid w:val="003612B2"/>
    <w:rsid w:val="0036131B"/>
    <w:rsid w:val="0036160B"/>
    <w:rsid w:val="00361735"/>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AC"/>
    <w:rsid w:val="00366BE1"/>
    <w:rsid w:val="00366C69"/>
    <w:rsid w:val="00366D6E"/>
    <w:rsid w:val="0036700B"/>
    <w:rsid w:val="003673DC"/>
    <w:rsid w:val="00367441"/>
    <w:rsid w:val="003674FD"/>
    <w:rsid w:val="00367889"/>
    <w:rsid w:val="00367B1D"/>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77F99"/>
    <w:rsid w:val="003802DC"/>
    <w:rsid w:val="00380E4E"/>
    <w:rsid w:val="00380EA9"/>
    <w:rsid w:val="00380FBF"/>
    <w:rsid w:val="00381549"/>
    <w:rsid w:val="0038165B"/>
    <w:rsid w:val="00381DDB"/>
    <w:rsid w:val="00382071"/>
    <w:rsid w:val="003821CE"/>
    <w:rsid w:val="003822EC"/>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D6B"/>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9A0"/>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65C"/>
    <w:rsid w:val="00391840"/>
    <w:rsid w:val="003921B9"/>
    <w:rsid w:val="00392570"/>
    <w:rsid w:val="00392969"/>
    <w:rsid w:val="003929A8"/>
    <w:rsid w:val="00392BEB"/>
    <w:rsid w:val="003930D9"/>
    <w:rsid w:val="003932A5"/>
    <w:rsid w:val="003936E6"/>
    <w:rsid w:val="00393986"/>
    <w:rsid w:val="00393A25"/>
    <w:rsid w:val="00393B19"/>
    <w:rsid w:val="00393B2D"/>
    <w:rsid w:val="00393DD8"/>
    <w:rsid w:val="00393E44"/>
    <w:rsid w:val="00394070"/>
    <w:rsid w:val="003940CE"/>
    <w:rsid w:val="00394273"/>
    <w:rsid w:val="0039456B"/>
    <w:rsid w:val="003945C9"/>
    <w:rsid w:val="003948AB"/>
    <w:rsid w:val="00394AE3"/>
    <w:rsid w:val="00394BF3"/>
    <w:rsid w:val="00394FFB"/>
    <w:rsid w:val="00395523"/>
    <w:rsid w:val="00395566"/>
    <w:rsid w:val="00395A36"/>
    <w:rsid w:val="00395C11"/>
    <w:rsid w:val="0039640A"/>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5DA"/>
    <w:rsid w:val="003A4757"/>
    <w:rsid w:val="003A4A81"/>
    <w:rsid w:val="003A4DEF"/>
    <w:rsid w:val="003A5116"/>
    <w:rsid w:val="003A566D"/>
    <w:rsid w:val="003A56A7"/>
    <w:rsid w:val="003A59E2"/>
    <w:rsid w:val="003A64AD"/>
    <w:rsid w:val="003A6633"/>
    <w:rsid w:val="003A6ABF"/>
    <w:rsid w:val="003A6BFB"/>
    <w:rsid w:val="003A6C2E"/>
    <w:rsid w:val="003A6C69"/>
    <w:rsid w:val="003A74DE"/>
    <w:rsid w:val="003A753D"/>
    <w:rsid w:val="003A76E1"/>
    <w:rsid w:val="003A7795"/>
    <w:rsid w:val="003A7834"/>
    <w:rsid w:val="003A7D8F"/>
    <w:rsid w:val="003B01CD"/>
    <w:rsid w:val="003B029F"/>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2D51"/>
    <w:rsid w:val="003B3110"/>
    <w:rsid w:val="003B326F"/>
    <w:rsid w:val="003B3435"/>
    <w:rsid w:val="003B34DA"/>
    <w:rsid w:val="003B3575"/>
    <w:rsid w:val="003B380D"/>
    <w:rsid w:val="003B3A42"/>
    <w:rsid w:val="003B3E0D"/>
    <w:rsid w:val="003B3E61"/>
    <w:rsid w:val="003B4156"/>
    <w:rsid w:val="003B415E"/>
    <w:rsid w:val="003B42DA"/>
    <w:rsid w:val="003B44DA"/>
    <w:rsid w:val="003B455E"/>
    <w:rsid w:val="003B4865"/>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6F58"/>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313"/>
    <w:rsid w:val="003C3B84"/>
    <w:rsid w:val="003C3BA6"/>
    <w:rsid w:val="003C4208"/>
    <w:rsid w:val="003C435D"/>
    <w:rsid w:val="003C4890"/>
    <w:rsid w:val="003C4F70"/>
    <w:rsid w:val="003C5509"/>
    <w:rsid w:val="003C55B8"/>
    <w:rsid w:val="003C59A5"/>
    <w:rsid w:val="003C5E6B"/>
    <w:rsid w:val="003C6195"/>
    <w:rsid w:val="003C68D6"/>
    <w:rsid w:val="003C6D58"/>
    <w:rsid w:val="003C71C5"/>
    <w:rsid w:val="003C727A"/>
    <w:rsid w:val="003C756D"/>
    <w:rsid w:val="003C7AD7"/>
    <w:rsid w:val="003C7E7D"/>
    <w:rsid w:val="003D0367"/>
    <w:rsid w:val="003D03EF"/>
    <w:rsid w:val="003D04F9"/>
    <w:rsid w:val="003D0781"/>
    <w:rsid w:val="003D0E4E"/>
    <w:rsid w:val="003D0E64"/>
    <w:rsid w:val="003D0ED7"/>
    <w:rsid w:val="003D0FC3"/>
    <w:rsid w:val="003D1178"/>
    <w:rsid w:val="003D15D3"/>
    <w:rsid w:val="003D1B35"/>
    <w:rsid w:val="003D1D99"/>
    <w:rsid w:val="003D23B5"/>
    <w:rsid w:val="003D2986"/>
    <w:rsid w:val="003D2C1D"/>
    <w:rsid w:val="003D2C34"/>
    <w:rsid w:val="003D3317"/>
    <w:rsid w:val="003D3534"/>
    <w:rsid w:val="003D37AD"/>
    <w:rsid w:val="003D38B6"/>
    <w:rsid w:val="003D3DDD"/>
    <w:rsid w:val="003D3F5E"/>
    <w:rsid w:val="003D40FF"/>
    <w:rsid w:val="003D4A5B"/>
    <w:rsid w:val="003D4C6A"/>
    <w:rsid w:val="003D4E8A"/>
    <w:rsid w:val="003D52C0"/>
    <w:rsid w:val="003D543E"/>
    <w:rsid w:val="003D5870"/>
    <w:rsid w:val="003D58C5"/>
    <w:rsid w:val="003D58CC"/>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83C"/>
    <w:rsid w:val="003E095E"/>
    <w:rsid w:val="003E09A0"/>
    <w:rsid w:val="003E09B2"/>
    <w:rsid w:val="003E0DE6"/>
    <w:rsid w:val="003E14F4"/>
    <w:rsid w:val="003E14FC"/>
    <w:rsid w:val="003E1AC5"/>
    <w:rsid w:val="003E1D74"/>
    <w:rsid w:val="003E2976"/>
    <w:rsid w:val="003E2FC2"/>
    <w:rsid w:val="003E34C5"/>
    <w:rsid w:val="003E3507"/>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72F"/>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3E5E"/>
    <w:rsid w:val="003F4118"/>
    <w:rsid w:val="003F477E"/>
    <w:rsid w:val="003F49A7"/>
    <w:rsid w:val="003F4C32"/>
    <w:rsid w:val="003F4C8E"/>
    <w:rsid w:val="003F505C"/>
    <w:rsid w:val="003F5604"/>
    <w:rsid w:val="003F62D2"/>
    <w:rsid w:val="003F63DB"/>
    <w:rsid w:val="003F6486"/>
    <w:rsid w:val="003F64B2"/>
    <w:rsid w:val="003F65C7"/>
    <w:rsid w:val="003F6CD2"/>
    <w:rsid w:val="003F736E"/>
    <w:rsid w:val="003F77F9"/>
    <w:rsid w:val="003F788D"/>
    <w:rsid w:val="003F7A97"/>
    <w:rsid w:val="003F7AB0"/>
    <w:rsid w:val="003F7C5A"/>
    <w:rsid w:val="003F7D78"/>
    <w:rsid w:val="003F7E32"/>
    <w:rsid w:val="00400377"/>
    <w:rsid w:val="004007A3"/>
    <w:rsid w:val="00400ADD"/>
    <w:rsid w:val="004010D9"/>
    <w:rsid w:val="004010FE"/>
    <w:rsid w:val="00401197"/>
    <w:rsid w:val="0040126E"/>
    <w:rsid w:val="00401394"/>
    <w:rsid w:val="004017F8"/>
    <w:rsid w:val="00401AAA"/>
    <w:rsid w:val="004020D4"/>
    <w:rsid w:val="004021B6"/>
    <w:rsid w:val="0040238F"/>
    <w:rsid w:val="004024BC"/>
    <w:rsid w:val="00402779"/>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487"/>
    <w:rsid w:val="00413776"/>
    <w:rsid w:val="004137B6"/>
    <w:rsid w:val="0041391D"/>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376"/>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17E6F"/>
    <w:rsid w:val="00420828"/>
    <w:rsid w:val="00420AAF"/>
    <w:rsid w:val="00420D85"/>
    <w:rsid w:val="00420E76"/>
    <w:rsid w:val="00421336"/>
    <w:rsid w:val="00421DCF"/>
    <w:rsid w:val="00421DFB"/>
    <w:rsid w:val="00422341"/>
    <w:rsid w:val="004223D0"/>
    <w:rsid w:val="0042273D"/>
    <w:rsid w:val="00422A60"/>
    <w:rsid w:val="00423641"/>
    <w:rsid w:val="00423E5D"/>
    <w:rsid w:val="0042429B"/>
    <w:rsid w:val="004248B8"/>
    <w:rsid w:val="00424CCD"/>
    <w:rsid w:val="004250BE"/>
    <w:rsid w:val="00425116"/>
    <w:rsid w:val="00425247"/>
    <w:rsid w:val="004253AF"/>
    <w:rsid w:val="004255A7"/>
    <w:rsid w:val="0042566B"/>
    <w:rsid w:val="00425F92"/>
    <w:rsid w:val="00425FF2"/>
    <w:rsid w:val="00426266"/>
    <w:rsid w:val="004264D4"/>
    <w:rsid w:val="00426699"/>
    <w:rsid w:val="00426A40"/>
    <w:rsid w:val="00426E70"/>
    <w:rsid w:val="00427038"/>
    <w:rsid w:val="004270EF"/>
    <w:rsid w:val="004272F3"/>
    <w:rsid w:val="00427A6A"/>
    <w:rsid w:val="004301E8"/>
    <w:rsid w:val="004307EC"/>
    <w:rsid w:val="00430856"/>
    <w:rsid w:val="00430A2D"/>
    <w:rsid w:val="00430B8D"/>
    <w:rsid w:val="00430FC9"/>
    <w:rsid w:val="004314E0"/>
    <w:rsid w:val="00431505"/>
    <w:rsid w:val="0043152F"/>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DBA"/>
    <w:rsid w:val="00434E8B"/>
    <w:rsid w:val="00435274"/>
    <w:rsid w:val="004352AD"/>
    <w:rsid w:val="0043545D"/>
    <w:rsid w:val="00435A69"/>
    <w:rsid w:val="00435D26"/>
    <w:rsid w:val="00435FBC"/>
    <w:rsid w:val="00435FE2"/>
    <w:rsid w:val="00436067"/>
    <w:rsid w:val="00436169"/>
    <w:rsid w:val="004363C1"/>
    <w:rsid w:val="004364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595"/>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631"/>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D11"/>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CF"/>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58B"/>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C57"/>
    <w:rsid w:val="00480E05"/>
    <w:rsid w:val="00480FE2"/>
    <w:rsid w:val="0048104A"/>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3E7"/>
    <w:rsid w:val="0048540F"/>
    <w:rsid w:val="00485479"/>
    <w:rsid w:val="00485970"/>
    <w:rsid w:val="00485ADA"/>
    <w:rsid w:val="00485BDA"/>
    <w:rsid w:val="00485C0D"/>
    <w:rsid w:val="00485EA3"/>
    <w:rsid w:val="00486161"/>
    <w:rsid w:val="00486575"/>
    <w:rsid w:val="004866AD"/>
    <w:rsid w:val="004866D0"/>
    <w:rsid w:val="004870DF"/>
    <w:rsid w:val="0048727C"/>
    <w:rsid w:val="004872A2"/>
    <w:rsid w:val="00487DED"/>
    <w:rsid w:val="00490032"/>
    <w:rsid w:val="00490C8A"/>
    <w:rsid w:val="00490EAB"/>
    <w:rsid w:val="00490FA1"/>
    <w:rsid w:val="00491202"/>
    <w:rsid w:val="0049145D"/>
    <w:rsid w:val="004918A0"/>
    <w:rsid w:val="00491C47"/>
    <w:rsid w:val="00492041"/>
    <w:rsid w:val="00492195"/>
    <w:rsid w:val="00492453"/>
    <w:rsid w:val="004924BC"/>
    <w:rsid w:val="0049254A"/>
    <w:rsid w:val="004926E8"/>
    <w:rsid w:val="00492828"/>
    <w:rsid w:val="00492B02"/>
    <w:rsid w:val="00492B4F"/>
    <w:rsid w:val="00492EBD"/>
    <w:rsid w:val="00493062"/>
    <w:rsid w:val="00493141"/>
    <w:rsid w:val="00493170"/>
    <w:rsid w:val="00493EC1"/>
    <w:rsid w:val="00493F48"/>
    <w:rsid w:val="00494193"/>
    <w:rsid w:val="00494242"/>
    <w:rsid w:val="00494779"/>
    <w:rsid w:val="004948B8"/>
    <w:rsid w:val="00494C15"/>
    <w:rsid w:val="00494E8E"/>
    <w:rsid w:val="00494FD0"/>
    <w:rsid w:val="004955BC"/>
    <w:rsid w:val="004956CD"/>
    <w:rsid w:val="0049571D"/>
    <w:rsid w:val="00495A19"/>
    <w:rsid w:val="00495D43"/>
    <w:rsid w:val="00495D63"/>
    <w:rsid w:val="0049610E"/>
    <w:rsid w:val="0049648F"/>
    <w:rsid w:val="00496606"/>
    <w:rsid w:val="004966E2"/>
    <w:rsid w:val="00496814"/>
    <w:rsid w:val="00496A42"/>
    <w:rsid w:val="00496F05"/>
    <w:rsid w:val="00497091"/>
    <w:rsid w:val="00497370"/>
    <w:rsid w:val="004976A8"/>
    <w:rsid w:val="004977DB"/>
    <w:rsid w:val="0049791C"/>
    <w:rsid w:val="00497B23"/>
    <w:rsid w:val="004A046D"/>
    <w:rsid w:val="004A04D5"/>
    <w:rsid w:val="004A0876"/>
    <w:rsid w:val="004A099C"/>
    <w:rsid w:val="004A0A0B"/>
    <w:rsid w:val="004A0A74"/>
    <w:rsid w:val="004A0AB3"/>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1FAD"/>
    <w:rsid w:val="004B244F"/>
    <w:rsid w:val="004B24E9"/>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C69"/>
    <w:rsid w:val="004C6EF1"/>
    <w:rsid w:val="004C6F7B"/>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35E"/>
    <w:rsid w:val="004D1409"/>
    <w:rsid w:val="004D14B9"/>
    <w:rsid w:val="004D14E4"/>
    <w:rsid w:val="004D152B"/>
    <w:rsid w:val="004D1A2A"/>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57FB"/>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D7FC3"/>
    <w:rsid w:val="004E003A"/>
    <w:rsid w:val="004E0768"/>
    <w:rsid w:val="004E0930"/>
    <w:rsid w:val="004E0A2E"/>
    <w:rsid w:val="004E0BD8"/>
    <w:rsid w:val="004E1883"/>
    <w:rsid w:val="004E1A31"/>
    <w:rsid w:val="004E2CC5"/>
    <w:rsid w:val="004E2DE0"/>
    <w:rsid w:val="004E3225"/>
    <w:rsid w:val="004E32FF"/>
    <w:rsid w:val="004E352D"/>
    <w:rsid w:val="004E3612"/>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06B"/>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1B07"/>
    <w:rsid w:val="004F1DD5"/>
    <w:rsid w:val="004F220E"/>
    <w:rsid w:val="004F2E65"/>
    <w:rsid w:val="004F2F07"/>
    <w:rsid w:val="004F2F7E"/>
    <w:rsid w:val="004F32B5"/>
    <w:rsid w:val="004F3406"/>
    <w:rsid w:val="004F361C"/>
    <w:rsid w:val="004F406C"/>
    <w:rsid w:val="004F407E"/>
    <w:rsid w:val="004F4703"/>
    <w:rsid w:val="004F4947"/>
    <w:rsid w:val="004F5479"/>
    <w:rsid w:val="004F5527"/>
    <w:rsid w:val="004F56B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A9"/>
    <w:rsid w:val="005034E9"/>
    <w:rsid w:val="005037C5"/>
    <w:rsid w:val="005037D1"/>
    <w:rsid w:val="00503C2B"/>
    <w:rsid w:val="0050497C"/>
    <w:rsid w:val="00504BC1"/>
    <w:rsid w:val="00504DCF"/>
    <w:rsid w:val="00505134"/>
    <w:rsid w:val="0050515F"/>
    <w:rsid w:val="005053D5"/>
    <w:rsid w:val="005053DC"/>
    <w:rsid w:val="0050568F"/>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235A"/>
    <w:rsid w:val="0051314A"/>
    <w:rsid w:val="0051318C"/>
    <w:rsid w:val="005132F1"/>
    <w:rsid w:val="00513441"/>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025"/>
    <w:rsid w:val="00517110"/>
    <w:rsid w:val="005172CB"/>
    <w:rsid w:val="005173A7"/>
    <w:rsid w:val="005175CF"/>
    <w:rsid w:val="005177E1"/>
    <w:rsid w:val="00517C59"/>
    <w:rsid w:val="00517E24"/>
    <w:rsid w:val="00517E9B"/>
    <w:rsid w:val="00520133"/>
    <w:rsid w:val="00520B55"/>
    <w:rsid w:val="00520B9A"/>
    <w:rsid w:val="00520C0A"/>
    <w:rsid w:val="00520F01"/>
    <w:rsid w:val="005218B6"/>
    <w:rsid w:val="00521A00"/>
    <w:rsid w:val="00521F48"/>
    <w:rsid w:val="00522589"/>
    <w:rsid w:val="00522929"/>
    <w:rsid w:val="00522A33"/>
    <w:rsid w:val="005234B8"/>
    <w:rsid w:val="005237DF"/>
    <w:rsid w:val="00523917"/>
    <w:rsid w:val="00524164"/>
    <w:rsid w:val="005241B4"/>
    <w:rsid w:val="00524431"/>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5EF"/>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3E86"/>
    <w:rsid w:val="005340A0"/>
    <w:rsid w:val="00534850"/>
    <w:rsid w:val="005350F1"/>
    <w:rsid w:val="00535193"/>
    <w:rsid w:val="005356F7"/>
    <w:rsid w:val="00535B79"/>
    <w:rsid w:val="00535D7C"/>
    <w:rsid w:val="0053620E"/>
    <w:rsid w:val="0053637E"/>
    <w:rsid w:val="005364EC"/>
    <w:rsid w:val="00536579"/>
    <w:rsid w:val="005365D6"/>
    <w:rsid w:val="00536A1B"/>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DED"/>
    <w:rsid w:val="00544E39"/>
    <w:rsid w:val="005452F3"/>
    <w:rsid w:val="0054593A"/>
    <w:rsid w:val="00545B7D"/>
    <w:rsid w:val="00545BA8"/>
    <w:rsid w:val="00546062"/>
    <w:rsid w:val="0054648F"/>
    <w:rsid w:val="005467FB"/>
    <w:rsid w:val="00546AE9"/>
    <w:rsid w:val="00546F3F"/>
    <w:rsid w:val="0054700E"/>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BC2"/>
    <w:rsid w:val="00553C36"/>
    <w:rsid w:val="00554779"/>
    <w:rsid w:val="00554BE7"/>
    <w:rsid w:val="00554FE2"/>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682"/>
    <w:rsid w:val="00561822"/>
    <w:rsid w:val="00561B53"/>
    <w:rsid w:val="00561C7A"/>
    <w:rsid w:val="00561ECD"/>
    <w:rsid w:val="00562055"/>
    <w:rsid w:val="005626D6"/>
    <w:rsid w:val="00563261"/>
    <w:rsid w:val="00563541"/>
    <w:rsid w:val="005637B4"/>
    <w:rsid w:val="005638D4"/>
    <w:rsid w:val="005639F8"/>
    <w:rsid w:val="00563B10"/>
    <w:rsid w:val="00563BCF"/>
    <w:rsid w:val="00563C91"/>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4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3D9"/>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3B3E"/>
    <w:rsid w:val="00584416"/>
    <w:rsid w:val="005844E4"/>
    <w:rsid w:val="005847F0"/>
    <w:rsid w:val="005847FD"/>
    <w:rsid w:val="00584B39"/>
    <w:rsid w:val="00585028"/>
    <w:rsid w:val="005850E4"/>
    <w:rsid w:val="00585204"/>
    <w:rsid w:val="005854D1"/>
    <w:rsid w:val="005855A0"/>
    <w:rsid w:val="005856A5"/>
    <w:rsid w:val="00585947"/>
    <w:rsid w:val="00585DC5"/>
    <w:rsid w:val="00585F5B"/>
    <w:rsid w:val="00585FCE"/>
    <w:rsid w:val="00586047"/>
    <w:rsid w:val="0058620A"/>
    <w:rsid w:val="005862EA"/>
    <w:rsid w:val="0058641D"/>
    <w:rsid w:val="00586878"/>
    <w:rsid w:val="00586C8B"/>
    <w:rsid w:val="00586F2A"/>
    <w:rsid w:val="005870F0"/>
    <w:rsid w:val="0058735C"/>
    <w:rsid w:val="00587AB3"/>
    <w:rsid w:val="00587F6C"/>
    <w:rsid w:val="00587FC0"/>
    <w:rsid w:val="005902FA"/>
    <w:rsid w:val="00590362"/>
    <w:rsid w:val="005904D2"/>
    <w:rsid w:val="00590644"/>
    <w:rsid w:val="005906AD"/>
    <w:rsid w:val="00590879"/>
    <w:rsid w:val="00590A05"/>
    <w:rsid w:val="00590BB4"/>
    <w:rsid w:val="00590DA6"/>
    <w:rsid w:val="0059126D"/>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07"/>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21C"/>
    <w:rsid w:val="00597E29"/>
    <w:rsid w:val="005A0222"/>
    <w:rsid w:val="005A054D"/>
    <w:rsid w:val="005A0581"/>
    <w:rsid w:val="005A098C"/>
    <w:rsid w:val="005A0A46"/>
    <w:rsid w:val="005A0CA5"/>
    <w:rsid w:val="005A10A4"/>
    <w:rsid w:val="005A10B9"/>
    <w:rsid w:val="005A11EA"/>
    <w:rsid w:val="005A1301"/>
    <w:rsid w:val="005A1A63"/>
    <w:rsid w:val="005A1C06"/>
    <w:rsid w:val="005A22EF"/>
    <w:rsid w:val="005A269F"/>
    <w:rsid w:val="005A27FB"/>
    <w:rsid w:val="005A2987"/>
    <w:rsid w:val="005A29EE"/>
    <w:rsid w:val="005A2B7F"/>
    <w:rsid w:val="005A2E30"/>
    <w:rsid w:val="005A305E"/>
    <w:rsid w:val="005A30BB"/>
    <w:rsid w:val="005A375F"/>
    <w:rsid w:val="005A3849"/>
    <w:rsid w:val="005A3887"/>
    <w:rsid w:val="005A3AAC"/>
    <w:rsid w:val="005A3E5B"/>
    <w:rsid w:val="005A43D7"/>
    <w:rsid w:val="005A4EC4"/>
    <w:rsid w:val="005A5252"/>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3C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BDD"/>
    <w:rsid w:val="005B7C32"/>
    <w:rsid w:val="005B7DD1"/>
    <w:rsid w:val="005C00A0"/>
    <w:rsid w:val="005C011F"/>
    <w:rsid w:val="005C0381"/>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1AF"/>
    <w:rsid w:val="005D63DA"/>
    <w:rsid w:val="005D63E1"/>
    <w:rsid w:val="005D648A"/>
    <w:rsid w:val="005D67E5"/>
    <w:rsid w:val="005D6B4F"/>
    <w:rsid w:val="005D7221"/>
    <w:rsid w:val="005D7A05"/>
    <w:rsid w:val="005D7C79"/>
    <w:rsid w:val="005D7CBA"/>
    <w:rsid w:val="005D7E0D"/>
    <w:rsid w:val="005D7F1E"/>
    <w:rsid w:val="005E05A6"/>
    <w:rsid w:val="005E0F48"/>
    <w:rsid w:val="005E1352"/>
    <w:rsid w:val="005E1455"/>
    <w:rsid w:val="005E1A40"/>
    <w:rsid w:val="005E1B6B"/>
    <w:rsid w:val="005E234A"/>
    <w:rsid w:val="005E2354"/>
    <w:rsid w:val="005E254B"/>
    <w:rsid w:val="005E302F"/>
    <w:rsid w:val="005E33A7"/>
    <w:rsid w:val="005E35CC"/>
    <w:rsid w:val="005E371B"/>
    <w:rsid w:val="005E371E"/>
    <w:rsid w:val="005E37A1"/>
    <w:rsid w:val="005E42A8"/>
    <w:rsid w:val="005E44A0"/>
    <w:rsid w:val="005E48BB"/>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51D"/>
    <w:rsid w:val="005F27BF"/>
    <w:rsid w:val="005F2912"/>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69A"/>
    <w:rsid w:val="005F6838"/>
    <w:rsid w:val="005F6B77"/>
    <w:rsid w:val="005F6C3C"/>
    <w:rsid w:val="005F6D59"/>
    <w:rsid w:val="005F6D71"/>
    <w:rsid w:val="005F6EBE"/>
    <w:rsid w:val="005F71D6"/>
    <w:rsid w:val="005F7208"/>
    <w:rsid w:val="005F7487"/>
    <w:rsid w:val="005F7789"/>
    <w:rsid w:val="005F787F"/>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ED6"/>
    <w:rsid w:val="00602F15"/>
    <w:rsid w:val="00603312"/>
    <w:rsid w:val="00603385"/>
    <w:rsid w:val="00603509"/>
    <w:rsid w:val="0060355A"/>
    <w:rsid w:val="00603607"/>
    <w:rsid w:val="00603BBD"/>
    <w:rsid w:val="00603CCE"/>
    <w:rsid w:val="00603ECF"/>
    <w:rsid w:val="00603ED5"/>
    <w:rsid w:val="00604451"/>
    <w:rsid w:val="00604DC7"/>
    <w:rsid w:val="00604DCA"/>
    <w:rsid w:val="00604E47"/>
    <w:rsid w:val="00605259"/>
    <w:rsid w:val="00605441"/>
    <w:rsid w:val="00605CA8"/>
    <w:rsid w:val="00605E72"/>
    <w:rsid w:val="00606102"/>
    <w:rsid w:val="0060627D"/>
    <w:rsid w:val="00606970"/>
    <w:rsid w:val="00606A20"/>
    <w:rsid w:val="00606C0B"/>
    <w:rsid w:val="006072C6"/>
    <w:rsid w:val="0060736D"/>
    <w:rsid w:val="00607A2E"/>
    <w:rsid w:val="00607A48"/>
    <w:rsid w:val="00607EC4"/>
    <w:rsid w:val="00610248"/>
    <w:rsid w:val="00610457"/>
    <w:rsid w:val="00611128"/>
    <w:rsid w:val="006111FE"/>
    <w:rsid w:val="00611658"/>
    <w:rsid w:val="00612D6B"/>
    <w:rsid w:val="006130F7"/>
    <w:rsid w:val="006131F8"/>
    <w:rsid w:val="006134D4"/>
    <w:rsid w:val="00613708"/>
    <w:rsid w:val="006138BE"/>
    <w:rsid w:val="00613AF8"/>
    <w:rsid w:val="00613C69"/>
    <w:rsid w:val="00613D8E"/>
    <w:rsid w:val="006140AA"/>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DB8"/>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C60"/>
    <w:rsid w:val="00624F61"/>
    <w:rsid w:val="006250FD"/>
    <w:rsid w:val="00625285"/>
    <w:rsid w:val="006256B5"/>
    <w:rsid w:val="00625D72"/>
    <w:rsid w:val="00625EF0"/>
    <w:rsid w:val="00626556"/>
    <w:rsid w:val="0062660B"/>
    <w:rsid w:val="00626AD1"/>
    <w:rsid w:val="006272FB"/>
    <w:rsid w:val="0062741F"/>
    <w:rsid w:val="0062765C"/>
    <w:rsid w:val="0062787D"/>
    <w:rsid w:val="0062799B"/>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F8F"/>
    <w:rsid w:val="0063362D"/>
    <w:rsid w:val="0063395A"/>
    <w:rsid w:val="00633BA8"/>
    <w:rsid w:val="00633EB9"/>
    <w:rsid w:val="00633EC5"/>
    <w:rsid w:val="00633FB9"/>
    <w:rsid w:val="0063427F"/>
    <w:rsid w:val="006346A2"/>
    <w:rsid w:val="00634ACF"/>
    <w:rsid w:val="00634ECD"/>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B45"/>
    <w:rsid w:val="00642D6A"/>
    <w:rsid w:val="006430C2"/>
    <w:rsid w:val="00643250"/>
    <w:rsid w:val="00643369"/>
    <w:rsid w:val="00643660"/>
    <w:rsid w:val="00643685"/>
    <w:rsid w:val="0064390A"/>
    <w:rsid w:val="006441BE"/>
    <w:rsid w:val="006442AA"/>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47ECD"/>
    <w:rsid w:val="00650139"/>
    <w:rsid w:val="00650434"/>
    <w:rsid w:val="006505AC"/>
    <w:rsid w:val="00650675"/>
    <w:rsid w:val="0065079D"/>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927"/>
    <w:rsid w:val="00655B63"/>
    <w:rsid w:val="00655C7D"/>
    <w:rsid w:val="00655E68"/>
    <w:rsid w:val="0065600F"/>
    <w:rsid w:val="00656444"/>
    <w:rsid w:val="00656551"/>
    <w:rsid w:val="006566AF"/>
    <w:rsid w:val="006569F9"/>
    <w:rsid w:val="00656B97"/>
    <w:rsid w:val="00656D75"/>
    <w:rsid w:val="006571F6"/>
    <w:rsid w:val="006579EF"/>
    <w:rsid w:val="00657A1C"/>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B5"/>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5FDC"/>
    <w:rsid w:val="006762D6"/>
    <w:rsid w:val="00676363"/>
    <w:rsid w:val="0067654A"/>
    <w:rsid w:val="0067697E"/>
    <w:rsid w:val="00676D87"/>
    <w:rsid w:val="006772CA"/>
    <w:rsid w:val="00677443"/>
    <w:rsid w:val="0067761D"/>
    <w:rsid w:val="0067769A"/>
    <w:rsid w:val="006776E3"/>
    <w:rsid w:val="006776E8"/>
    <w:rsid w:val="006778FC"/>
    <w:rsid w:val="00677BAF"/>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225"/>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7BB"/>
    <w:rsid w:val="00686ADA"/>
    <w:rsid w:val="00686C14"/>
    <w:rsid w:val="00686E1F"/>
    <w:rsid w:val="006871DB"/>
    <w:rsid w:val="00690564"/>
    <w:rsid w:val="00690879"/>
    <w:rsid w:val="00690A49"/>
    <w:rsid w:val="00690BB6"/>
    <w:rsid w:val="00691183"/>
    <w:rsid w:val="006914F2"/>
    <w:rsid w:val="00691516"/>
    <w:rsid w:val="00691B30"/>
    <w:rsid w:val="00691BAF"/>
    <w:rsid w:val="00691DBB"/>
    <w:rsid w:val="00691E26"/>
    <w:rsid w:val="0069207F"/>
    <w:rsid w:val="00692A52"/>
    <w:rsid w:val="00692C4A"/>
    <w:rsid w:val="00692D04"/>
    <w:rsid w:val="006930B8"/>
    <w:rsid w:val="00693274"/>
    <w:rsid w:val="00693645"/>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3EF"/>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CE9"/>
    <w:rsid w:val="006A6351"/>
    <w:rsid w:val="006A6E17"/>
    <w:rsid w:val="006A7168"/>
    <w:rsid w:val="006A73EC"/>
    <w:rsid w:val="006A7482"/>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8F"/>
    <w:rsid w:val="006C3CEB"/>
    <w:rsid w:val="006C4516"/>
    <w:rsid w:val="006C455E"/>
    <w:rsid w:val="006C4C1C"/>
    <w:rsid w:val="006C4D68"/>
    <w:rsid w:val="006C4E94"/>
    <w:rsid w:val="006C52E6"/>
    <w:rsid w:val="006C5861"/>
    <w:rsid w:val="006C58FE"/>
    <w:rsid w:val="006C592C"/>
    <w:rsid w:val="006C5958"/>
    <w:rsid w:val="006C5B4F"/>
    <w:rsid w:val="006C6107"/>
    <w:rsid w:val="006C6161"/>
    <w:rsid w:val="006C643C"/>
    <w:rsid w:val="006C6BB6"/>
    <w:rsid w:val="006C6E3A"/>
    <w:rsid w:val="006C6E53"/>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B44"/>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3DE"/>
    <w:rsid w:val="006E45F3"/>
    <w:rsid w:val="006E48D9"/>
    <w:rsid w:val="006E49A3"/>
    <w:rsid w:val="006E4A2F"/>
    <w:rsid w:val="006E4C9C"/>
    <w:rsid w:val="006E4D01"/>
    <w:rsid w:val="006E4ED4"/>
    <w:rsid w:val="006E50B2"/>
    <w:rsid w:val="006E522B"/>
    <w:rsid w:val="006E5431"/>
    <w:rsid w:val="006E56B5"/>
    <w:rsid w:val="006E57C6"/>
    <w:rsid w:val="006E581F"/>
    <w:rsid w:val="006E5ACE"/>
    <w:rsid w:val="006E5DFE"/>
    <w:rsid w:val="006E5E19"/>
    <w:rsid w:val="006E61C3"/>
    <w:rsid w:val="006E61E4"/>
    <w:rsid w:val="006E6A7B"/>
    <w:rsid w:val="006E6C00"/>
    <w:rsid w:val="006E6E67"/>
    <w:rsid w:val="006E75FB"/>
    <w:rsid w:val="006E7723"/>
    <w:rsid w:val="006E799D"/>
    <w:rsid w:val="006E7C74"/>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17"/>
    <w:rsid w:val="006F6850"/>
    <w:rsid w:val="006F6D41"/>
    <w:rsid w:val="006F6E97"/>
    <w:rsid w:val="006F707E"/>
    <w:rsid w:val="006F7172"/>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015"/>
    <w:rsid w:val="00701105"/>
    <w:rsid w:val="00701386"/>
    <w:rsid w:val="0070180F"/>
    <w:rsid w:val="0070181E"/>
    <w:rsid w:val="007019E5"/>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5DEF"/>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2F77"/>
    <w:rsid w:val="00713BB5"/>
    <w:rsid w:val="00713CFA"/>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96A"/>
    <w:rsid w:val="00721D9B"/>
    <w:rsid w:val="00722121"/>
    <w:rsid w:val="0072226D"/>
    <w:rsid w:val="00722349"/>
    <w:rsid w:val="007224B9"/>
    <w:rsid w:val="0072279F"/>
    <w:rsid w:val="00722954"/>
    <w:rsid w:val="00722994"/>
    <w:rsid w:val="00722E00"/>
    <w:rsid w:val="00722F6D"/>
    <w:rsid w:val="00722F94"/>
    <w:rsid w:val="00723028"/>
    <w:rsid w:val="007237EA"/>
    <w:rsid w:val="00723AA7"/>
    <w:rsid w:val="0072432E"/>
    <w:rsid w:val="0072438E"/>
    <w:rsid w:val="007243DC"/>
    <w:rsid w:val="00724521"/>
    <w:rsid w:val="007246EB"/>
    <w:rsid w:val="00724886"/>
    <w:rsid w:val="00725257"/>
    <w:rsid w:val="00725309"/>
    <w:rsid w:val="0072559F"/>
    <w:rsid w:val="00725DBF"/>
    <w:rsid w:val="00725E44"/>
    <w:rsid w:val="00726036"/>
    <w:rsid w:val="0072614D"/>
    <w:rsid w:val="00726279"/>
    <w:rsid w:val="0072628A"/>
    <w:rsid w:val="007263FE"/>
    <w:rsid w:val="00726412"/>
    <w:rsid w:val="00726A9B"/>
    <w:rsid w:val="00726B6A"/>
    <w:rsid w:val="00726C21"/>
    <w:rsid w:val="007273CC"/>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BA4"/>
    <w:rsid w:val="00732FC1"/>
    <w:rsid w:val="0073327A"/>
    <w:rsid w:val="007332D8"/>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3E60"/>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2EE"/>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27"/>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4E"/>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9B"/>
    <w:rsid w:val="0077277E"/>
    <w:rsid w:val="007728B7"/>
    <w:rsid w:val="00772F8A"/>
    <w:rsid w:val="00772F8B"/>
    <w:rsid w:val="00773069"/>
    <w:rsid w:val="00773399"/>
    <w:rsid w:val="007733C9"/>
    <w:rsid w:val="007739C6"/>
    <w:rsid w:val="00773BD6"/>
    <w:rsid w:val="00774012"/>
    <w:rsid w:val="00774445"/>
    <w:rsid w:val="0077456B"/>
    <w:rsid w:val="00774889"/>
    <w:rsid w:val="00774B8E"/>
    <w:rsid w:val="00774E31"/>
    <w:rsid w:val="00774F34"/>
    <w:rsid w:val="00774FF5"/>
    <w:rsid w:val="007750B3"/>
    <w:rsid w:val="007751D9"/>
    <w:rsid w:val="0077578D"/>
    <w:rsid w:val="0077579A"/>
    <w:rsid w:val="00775BBB"/>
    <w:rsid w:val="00775F76"/>
    <w:rsid w:val="00775F96"/>
    <w:rsid w:val="007767D3"/>
    <w:rsid w:val="00776914"/>
    <w:rsid w:val="00776AEA"/>
    <w:rsid w:val="00776BA2"/>
    <w:rsid w:val="00776BD6"/>
    <w:rsid w:val="007771AE"/>
    <w:rsid w:val="00777BA0"/>
    <w:rsid w:val="00777C21"/>
    <w:rsid w:val="00777F96"/>
    <w:rsid w:val="00780137"/>
    <w:rsid w:val="00780321"/>
    <w:rsid w:val="007803BD"/>
    <w:rsid w:val="007803C2"/>
    <w:rsid w:val="007811AA"/>
    <w:rsid w:val="007811DC"/>
    <w:rsid w:val="00781545"/>
    <w:rsid w:val="00781679"/>
    <w:rsid w:val="00781685"/>
    <w:rsid w:val="0078174E"/>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1F"/>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737"/>
    <w:rsid w:val="007959BA"/>
    <w:rsid w:val="0079664A"/>
    <w:rsid w:val="007970A6"/>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0CF"/>
    <w:rsid w:val="007A12D5"/>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0F95"/>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6DD"/>
    <w:rsid w:val="007B4E24"/>
    <w:rsid w:val="007B52CD"/>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793"/>
    <w:rsid w:val="007C08B8"/>
    <w:rsid w:val="007C0C2B"/>
    <w:rsid w:val="007C193D"/>
    <w:rsid w:val="007C19AD"/>
    <w:rsid w:val="007C1A50"/>
    <w:rsid w:val="007C1C84"/>
    <w:rsid w:val="007C21DD"/>
    <w:rsid w:val="007C277A"/>
    <w:rsid w:val="007C2812"/>
    <w:rsid w:val="007C284F"/>
    <w:rsid w:val="007C2A0C"/>
    <w:rsid w:val="007C329B"/>
    <w:rsid w:val="007C3598"/>
    <w:rsid w:val="007C3877"/>
    <w:rsid w:val="007C3E69"/>
    <w:rsid w:val="007C3F15"/>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E0B"/>
    <w:rsid w:val="007D1326"/>
    <w:rsid w:val="007D1C21"/>
    <w:rsid w:val="007D1C43"/>
    <w:rsid w:val="007D1CAD"/>
    <w:rsid w:val="007D1D32"/>
    <w:rsid w:val="007D229A"/>
    <w:rsid w:val="007D2683"/>
    <w:rsid w:val="007D2766"/>
    <w:rsid w:val="007D2A4D"/>
    <w:rsid w:val="007D2F44"/>
    <w:rsid w:val="007D2F4D"/>
    <w:rsid w:val="007D3B38"/>
    <w:rsid w:val="007D3DFE"/>
    <w:rsid w:val="007D3EF3"/>
    <w:rsid w:val="007D4178"/>
    <w:rsid w:val="007D41A1"/>
    <w:rsid w:val="007D41E3"/>
    <w:rsid w:val="007D433B"/>
    <w:rsid w:val="007D4638"/>
    <w:rsid w:val="007D4D33"/>
    <w:rsid w:val="007D551D"/>
    <w:rsid w:val="007D5798"/>
    <w:rsid w:val="007D5CD7"/>
    <w:rsid w:val="007D5E38"/>
    <w:rsid w:val="007D6C9D"/>
    <w:rsid w:val="007D7156"/>
    <w:rsid w:val="007D7175"/>
    <w:rsid w:val="007D7675"/>
    <w:rsid w:val="007D7D0E"/>
    <w:rsid w:val="007D7D23"/>
    <w:rsid w:val="007D7EB4"/>
    <w:rsid w:val="007E04A8"/>
    <w:rsid w:val="007E0564"/>
    <w:rsid w:val="007E0941"/>
    <w:rsid w:val="007E0B32"/>
    <w:rsid w:val="007E0B60"/>
    <w:rsid w:val="007E0B91"/>
    <w:rsid w:val="007E0D7E"/>
    <w:rsid w:val="007E120D"/>
    <w:rsid w:val="007E1225"/>
    <w:rsid w:val="007E1369"/>
    <w:rsid w:val="007E1A1B"/>
    <w:rsid w:val="007E1A88"/>
    <w:rsid w:val="007E1DF4"/>
    <w:rsid w:val="007E21ED"/>
    <w:rsid w:val="007E2D69"/>
    <w:rsid w:val="007E2DC5"/>
    <w:rsid w:val="007E2E54"/>
    <w:rsid w:val="007E32C9"/>
    <w:rsid w:val="007E344F"/>
    <w:rsid w:val="007E3AAC"/>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38F"/>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8D0"/>
    <w:rsid w:val="007F19B7"/>
    <w:rsid w:val="007F1A9C"/>
    <w:rsid w:val="007F1B5B"/>
    <w:rsid w:val="007F1CFB"/>
    <w:rsid w:val="007F1EB2"/>
    <w:rsid w:val="007F21C9"/>
    <w:rsid w:val="007F220B"/>
    <w:rsid w:val="007F27DD"/>
    <w:rsid w:val="007F2909"/>
    <w:rsid w:val="007F2D8B"/>
    <w:rsid w:val="007F31D1"/>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C01"/>
    <w:rsid w:val="00805DF7"/>
    <w:rsid w:val="0080605C"/>
    <w:rsid w:val="0080609C"/>
    <w:rsid w:val="008060BB"/>
    <w:rsid w:val="00806A17"/>
    <w:rsid w:val="00806AAF"/>
    <w:rsid w:val="00806B20"/>
    <w:rsid w:val="008070AC"/>
    <w:rsid w:val="008071EC"/>
    <w:rsid w:val="008075A8"/>
    <w:rsid w:val="00807BD6"/>
    <w:rsid w:val="00807D03"/>
    <w:rsid w:val="00807D49"/>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A16"/>
    <w:rsid w:val="00814E51"/>
    <w:rsid w:val="00815513"/>
    <w:rsid w:val="00815618"/>
    <w:rsid w:val="0081581D"/>
    <w:rsid w:val="00815AC5"/>
    <w:rsid w:val="00816703"/>
    <w:rsid w:val="008168A5"/>
    <w:rsid w:val="008169B0"/>
    <w:rsid w:val="00816CC7"/>
    <w:rsid w:val="008172BE"/>
    <w:rsid w:val="008173A2"/>
    <w:rsid w:val="00817966"/>
    <w:rsid w:val="00817ACF"/>
    <w:rsid w:val="00817B71"/>
    <w:rsid w:val="00820244"/>
    <w:rsid w:val="00820765"/>
    <w:rsid w:val="00820787"/>
    <w:rsid w:val="00820B74"/>
    <w:rsid w:val="00820C67"/>
    <w:rsid w:val="00820CF1"/>
    <w:rsid w:val="00820D83"/>
    <w:rsid w:val="00820DBC"/>
    <w:rsid w:val="00820ED1"/>
    <w:rsid w:val="00820FBE"/>
    <w:rsid w:val="008217C6"/>
    <w:rsid w:val="00821CC2"/>
    <w:rsid w:val="00821E1A"/>
    <w:rsid w:val="00821F44"/>
    <w:rsid w:val="008221B3"/>
    <w:rsid w:val="008222FD"/>
    <w:rsid w:val="0082248E"/>
    <w:rsid w:val="00822532"/>
    <w:rsid w:val="008226FD"/>
    <w:rsid w:val="00822A74"/>
    <w:rsid w:val="00822BD1"/>
    <w:rsid w:val="00822C6C"/>
    <w:rsid w:val="008232D1"/>
    <w:rsid w:val="008232DF"/>
    <w:rsid w:val="0082371D"/>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5C"/>
    <w:rsid w:val="008352E1"/>
    <w:rsid w:val="008356E9"/>
    <w:rsid w:val="008359E0"/>
    <w:rsid w:val="00835AE9"/>
    <w:rsid w:val="008363E8"/>
    <w:rsid w:val="00836C47"/>
    <w:rsid w:val="00836EEE"/>
    <w:rsid w:val="00836FB3"/>
    <w:rsid w:val="0083700E"/>
    <w:rsid w:val="008376F6"/>
    <w:rsid w:val="0083792E"/>
    <w:rsid w:val="00837D5B"/>
    <w:rsid w:val="008401F3"/>
    <w:rsid w:val="00840220"/>
    <w:rsid w:val="00840516"/>
    <w:rsid w:val="00840607"/>
    <w:rsid w:val="008409FF"/>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A5D"/>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0D1"/>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866"/>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76"/>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8E5"/>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1D29"/>
    <w:rsid w:val="00872429"/>
    <w:rsid w:val="00872D3F"/>
    <w:rsid w:val="0087305B"/>
    <w:rsid w:val="008733E4"/>
    <w:rsid w:val="008734AC"/>
    <w:rsid w:val="008736F1"/>
    <w:rsid w:val="00873F15"/>
    <w:rsid w:val="00873F20"/>
    <w:rsid w:val="00873F60"/>
    <w:rsid w:val="00874096"/>
    <w:rsid w:val="00874377"/>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EF4"/>
    <w:rsid w:val="00877262"/>
    <w:rsid w:val="00877417"/>
    <w:rsid w:val="00877B28"/>
    <w:rsid w:val="00877C45"/>
    <w:rsid w:val="00880454"/>
    <w:rsid w:val="008806D5"/>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CAA"/>
    <w:rsid w:val="00886D3F"/>
    <w:rsid w:val="00887576"/>
    <w:rsid w:val="00887686"/>
    <w:rsid w:val="00887B36"/>
    <w:rsid w:val="00887B48"/>
    <w:rsid w:val="00887BC1"/>
    <w:rsid w:val="00887C48"/>
    <w:rsid w:val="00887D6F"/>
    <w:rsid w:val="00887F4F"/>
    <w:rsid w:val="00890036"/>
    <w:rsid w:val="008903E8"/>
    <w:rsid w:val="008904C1"/>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3"/>
    <w:rsid w:val="00893DDE"/>
    <w:rsid w:val="0089444E"/>
    <w:rsid w:val="00894816"/>
    <w:rsid w:val="00894895"/>
    <w:rsid w:val="008949DF"/>
    <w:rsid w:val="0089506D"/>
    <w:rsid w:val="008950F1"/>
    <w:rsid w:val="00895121"/>
    <w:rsid w:val="008951DB"/>
    <w:rsid w:val="0089597F"/>
    <w:rsid w:val="00895980"/>
    <w:rsid w:val="00896131"/>
    <w:rsid w:val="008967E7"/>
    <w:rsid w:val="00896A57"/>
    <w:rsid w:val="00896C81"/>
    <w:rsid w:val="00896D83"/>
    <w:rsid w:val="008971AD"/>
    <w:rsid w:val="00897908"/>
    <w:rsid w:val="00897CB6"/>
    <w:rsid w:val="00897EED"/>
    <w:rsid w:val="00897F0C"/>
    <w:rsid w:val="008A0508"/>
    <w:rsid w:val="008A0AB2"/>
    <w:rsid w:val="008A0CF2"/>
    <w:rsid w:val="008A0CFC"/>
    <w:rsid w:val="008A0DCB"/>
    <w:rsid w:val="008A0F7D"/>
    <w:rsid w:val="008A1041"/>
    <w:rsid w:val="008A12FE"/>
    <w:rsid w:val="008A1AFD"/>
    <w:rsid w:val="008A21AC"/>
    <w:rsid w:val="008A26C5"/>
    <w:rsid w:val="008A28B6"/>
    <w:rsid w:val="008A2BB1"/>
    <w:rsid w:val="008A2ECB"/>
    <w:rsid w:val="008A315F"/>
    <w:rsid w:val="008A3466"/>
    <w:rsid w:val="008A35EE"/>
    <w:rsid w:val="008A36D7"/>
    <w:rsid w:val="008A389F"/>
    <w:rsid w:val="008A3938"/>
    <w:rsid w:val="008A3BB1"/>
    <w:rsid w:val="008A3D02"/>
    <w:rsid w:val="008A3DB1"/>
    <w:rsid w:val="008A3DF6"/>
    <w:rsid w:val="008A3DFC"/>
    <w:rsid w:val="008A3E49"/>
    <w:rsid w:val="008A3E96"/>
    <w:rsid w:val="008A400D"/>
    <w:rsid w:val="008A49E5"/>
    <w:rsid w:val="008A4F83"/>
    <w:rsid w:val="008A57DC"/>
    <w:rsid w:val="008A5907"/>
    <w:rsid w:val="008A5940"/>
    <w:rsid w:val="008A59E9"/>
    <w:rsid w:val="008A5BEA"/>
    <w:rsid w:val="008A63FD"/>
    <w:rsid w:val="008A6A51"/>
    <w:rsid w:val="008A7158"/>
    <w:rsid w:val="008A73B2"/>
    <w:rsid w:val="008A769F"/>
    <w:rsid w:val="008A7809"/>
    <w:rsid w:val="008B00E5"/>
    <w:rsid w:val="008B0148"/>
    <w:rsid w:val="008B0344"/>
    <w:rsid w:val="008B03BE"/>
    <w:rsid w:val="008B043F"/>
    <w:rsid w:val="008B0808"/>
    <w:rsid w:val="008B0AEC"/>
    <w:rsid w:val="008B0C7C"/>
    <w:rsid w:val="008B0CA1"/>
    <w:rsid w:val="008B0EA7"/>
    <w:rsid w:val="008B1271"/>
    <w:rsid w:val="008B13ED"/>
    <w:rsid w:val="008B1548"/>
    <w:rsid w:val="008B1B91"/>
    <w:rsid w:val="008B1E53"/>
    <w:rsid w:val="008B1E5B"/>
    <w:rsid w:val="008B1EFD"/>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6E"/>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2F04"/>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5FDE"/>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0F03"/>
    <w:rsid w:val="008E1098"/>
    <w:rsid w:val="008E10A6"/>
    <w:rsid w:val="008E1271"/>
    <w:rsid w:val="008E1416"/>
    <w:rsid w:val="008E1585"/>
    <w:rsid w:val="008E1660"/>
    <w:rsid w:val="008E197D"/>
    <w:rsid w:val="008E19CE"/>
    <w:rsid w:val="008E2251"/>
    <w:rsid w:val="008E24B3"/>
    <w:rsid w:val="008E24CA"/>
    <w:rsid w:val="008E28E9"/>
    <w:rsid w:val="008E292E"/>
    <w:rsid w:val="008E2E44"/>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3F"/>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38D"/>
    <w:rsid w:val="009025C7"/>
    <w:rsid w:val="00902896"/>
    <w:rsid w:val="00902A07"/>
    <w:rsid w:val="00902ACD"/>
    <w:rsid w:val="00902B32"/>
    <w:rsid w:val="00902CBE"/>
    <w:rsid w:val="00902DF7"/>
    <w:rsid w:val="00902E5F"/>
    <w:rsid w:val="009030AE"/>
    <w:rsid w:val="009032F7"/>
    <w:rsid w:val="009033EC"/>
    <w:rsid w:val="00903412"/>
    <w:rsid w:val="00903802"/>
    <w:rsid w:val="00903938"/>
    <w:rsid w:val="00903A29"/>
    <w:rsid w:val="00903EE2"/>
    <w:rsid w:val="00903FF5"/>
    <w:rsid w:val="00904033"/>
    <w:rsid w:val="009048AA"/>
    <w:rsid w:val="00904A97"/>
    <w:rsid w:val="009053CB"/>
    <w:rsid w:val="0090545E"/>
    <w:rsid w:val="0090612A"/>
    <w:rsid w:val="00906159"/>
    <w:rsid w:val="0090640E"/>
    <w:rsid w:val="009065A0"/>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2C38"/>
    <w:rsid w:val="009134F1"/>
    <w:rsid w:val="00913612"/>
    <w:rsid w:val="0091366A"/>
    <w:rsid w:val="00913824"/>
    <w:rsid w:val="00913B4A"/>
    <w:rsid w:val="00913F12"/>
    <w:rsid w:val="00914884"/>
    <w:rsid w:val="00914948"/>
    <w:rsid w:val="00914D96"/>
    <w:rsid w:val="00915033"/>
    <w:rsid w:val="009150B5"/>
    <w:rsid w:val="0091517E"/>
    <w:rsid w:val="0091522C"/>
    <w:rsid w:val="00915443"/>
    <w:rsid w:val="009156F7"/>
    <w:rsid w:val="00915757"/>
    <w:rsid w:val="0091596A"/>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1F34"/>
    <w:rsid w:val="00922096"/>
    <w:rsid w:val="00922A2C"/>
    <w:rsid w:val="00922B64"/>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5F65"/>
    <w:rsid w:val="0092663D"/>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1B1"/>
    <w:rsid w:val="0093233B"/>
    <w:rsid w:val="009323FB"/>
    <w:rsid w:val="009328C7"/>
    <w:rsid w:val="00932CB3"/>
    <w:rsid w:val="009330A8"/>
    <w:rsid w:val="00933141"/>
    <w:rsid w:val="00933395"/>
    <w:rsid w:val="009333C4"/>
    <w:rsid w:val="009336EC"/>
    <w:rsid w:val="009337A9"/>
    <w:rsid w:val="009338AA"/>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37AE6"/>
    <w:rsid w:val="0094014E"/>
    <w:rsid w:val="0094081F"/>
    <w:rsid w:val="009409B5"/>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7A"/>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5F"/>
    <w:rsid w:val="00952721"/>
    <w:rsid w:val="00952743"/>
    <w:rsid w:val="00952B2E"/>
    <w:rsid w:val="0095380C"/>
    <w:rsid w:val="00953FBE"/>
    <w:rsid w:val="00954067"/>
    <w:rsid w:val="009541E5"/>
    <w:rsid w:val="00954353"/>
    <w:rsid w:val="00954718"/>
    <w:rsid w:val="009547EE"/>
    <w:rsid w:val="00954A0A"/>
    <w:rsid w:val="00954B7D"/>
    <w:rsid w:val="009551DF"/>
    <w:rsid w:val="00955295"/>
    <w:rsid w:val="00955A29"/>
    <w:rsid w:val="00955C0A"/>
    <w:rsid w:val="00955C4F"/>
    <w:rsid w:val="00955FAF"/>
    <w:rsid w:val="009566BE"/>
    <w:rsid w:val="00956DF5"/>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E96"/>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806"/>
    <w:rsid w:val="00971C5A"/>
    <w:rsid w:val="009720F9"/>
    <w:rsid w:val="00972929"/>
    <w:rsid w:val="00972AF7"/>
    <w:rsid w:val="00972C8A"/>
    <w:rsid w:val="00972DC3"/>
    <w:rsid w:val="00972ED5"/>
    <w:rsid w:val="00972EFD"/>
    <w:rsid w:val="00972F91"/>
    <w:rsid w:val="00972FB9"/>
    <w:rsid w:val="00973135"/>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4ECA"/>
    <w:rsid w:val="00985233"/>
    <w:rsid w:val="0098591C"/>
    <w:rsid w:val="00985E91"/>
    <w:rsid w:val="00985F28"/>
    <w:rsid w:val="00986149"/>
    <w:rsid w:val="00986176"/>
    <w:rsid w:val="00986386"/>
    <w:rsid w:val="0098663A"/>
    <w:rsid w:val="00986E4C"/>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6A5"/>
    <w:rsid w:val="0099189E"/>
    <w:rsid w:val="0099196F"/>
    <w:rsid w:val="00991AC3"/>
    <w:rsid w:val="00991FF8"/>
    <w:rsid w:val="009920BE"/>
    <w:rsid w:val="00992148"/>
    <w:rsid w:val="0099249C"/>
    <w:rsid w:val="009927BE"/>
    <w:rsid w:val="00992B98"/>
    <w:rsid w:val="009930A9"/>
    <w:rsid w:val="009932F3"/>
    <w:rsid w:val="0099359F"/>
    <w:rsid w:val="009936BB"/>
    <w:rsid w:val="00993A61"/>
    <w:rsid w:val="00993EBB"/>
    <w:rsid w:val="00993FDA"/>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DFB"/>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1AB"/>
    <w:rsid w:val="009B3248"/>
    <w:rsid w:val="009B3257"/>
    <w:rsid w:val="009B35CB"/>
    <w:rsid w:val="009B3606"/>
    <w:rsid w:val="009B37E2"/>
    <w:rsid w:val="009B40AA"/>
    <w:rsid w:val="009B4434"/>
    <w:rsid w:val="009B446D"/>
    <w:rsid w:val="009B4519"/>
    <w:rsid w:val="009B46A2"/>
    <w:rsid w:val="009B49F4"/>
    <w:rsid w:val="009B4A08"/>
    <w:rsid w:val="009B4B98"/>
    <w:rsid w:val="009B4E8E"/>
    <w:rsid w:val="009B506B"/>
    <w:rsid w:val="009B5189"/>
    <w:rsid w:val="009B57EF"/>
    <w:rsid w:val="009B5991"/>
    <w:rsid w:val="009B5B85"/>
    <w:rsid w:val="009B5D2B"/>
    <w:rsid w:val="009B6A6C"/>
    <w:rsid w:val="009B6CA3"/>
    <w:rsid w:val="009B6CB9"/>
    <w:rsid w:val="009B7204"/>
    <w:rsid w:val="009B7320"/>
    <w:rsid w:val="009B7365"/>
    <w:rsid w:val="009B7731"/>
    <w:rsid w:val="009B7A6E"/>
    <w:rsid w:val="009C0074"/>
    <w:rsid w:val="009C00ED"/>
    <w:rsid w:val="009C03D6"/>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A40"/>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89"/>
    <w:rsid w:val="009E25D5"/>
    <w:rsid w:val="009E2747"/>
    <w:rsid w:val="009E2A66"/>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5D"/>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2E3"/>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A1E"/>
    <w:rsid w:val="009F7B52"/>
    <w:rsid w:val="009F7F8B"/>
    <w:rsid w:val="00A00049"/>
    <w:rsid w:val="00A002A3"/>
    <w:rsid w:val="00A004F2"/>
    <w:rsid w:val="00A00551"/>
    <w:rsid w:val="00A005B0"/>
    <w:rsid w:val="00A00AC4"/>
    <w:rsid w:val="00A00BA1"/>
    <w:rsid w:val="00A0109E"/>
    <w:rsid w:val="00A012FE"/>
    <w:rsid w:val="00A013C8"/>
    <w:rsid w:val="00A01528"/>
    <w:rsid w:val="00A01895"/>
    <w:rsid w:val="00A01C83"/>
    <w:rsid w:val="00A01F17"/>
    <w:rsid w:val="00A022A5"/>
    <w:rsid w:val="00A0248E"/>
    <w:rsid w:val="00A026D2"/>
    <w:rsid w:val="00A02EDB"/>
    <w:rsid w:val="00A0387F"/>
    <w:rsid w:val="00A03A22"/>
    <w:rsid w:val="00A04634"/>
    <w:rsid w:val="00A04826"/>
    <w:rsid w:val="00A04D8F"/>
    <w:rsid w:val="00A05078"/>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045"/>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B97"/>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05"/>
    <w:rsid w:val="00A23723"/>
    <w:rsid w:val="00A237A8"/>
    <w:rsid w:val="00A238E2"/>
    <w:rsid w:val="00A23AF6"/>
    <w:rsid w:val="00A24172"/>
    <w:rsid w:val="00A245D2"/>
    <w:rsid w:val="00A24CE2"/>
    <w:rsid w:val="00A25294"/>
    <w:rsid w:val="00A25499"/>
    <w:rsid w:val="00A254EE"/>
    <w:rsid w:val="00A25BE7"/>
    <w:rsid w:val="00A25BE8"/>
    <w:rsid w:val="00A25C33"/>
    <w:rsid w:val="00A2631F"/>
    <w:rsid w:val="00A27008"/>
    <w:rsid w:val="00A270E2"/>
    <w:rsid w:val="00A27210"/>
    <w:rsid w:val="00A27332"/>
    <w:rsid w:val="00A27413"/>
    <w:rsid w:val="00A274CE"/>
    <w:rsid w:val="00A27CDF"/>
    <w:rsid w:val="00A30078"/>
    <w:rsid w:val="00A300DB"/>
    <w:rsid w:val="00A3030C"/>
    <w:rsid w:val="00A309C6"/>
    <w:rsid w:val="00A30BBF"/>
    <w:rsid w:val="00A30D13"/>
    <w:rsid w:val="00A30DBA"/>
    <w:rsid w:val="00A313D0"/>
    <w:rsid w:val="00A31415"/>
    <w:rsid w:val="00A314F9"/>
    <w:rsid w:val="00A319D0"/>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AF7"/>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B6A"/>
    <w:rsid w:val="00A47C73"/>
    <w:rsid w:val="00A47F80"/>
    <w:rsid w:val="00A50087"/>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0FD"/>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85"/>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9EC"/>
    <w:rsid w:val="00A66AF8"/>
    <w:rsid w:val="00A66E1F"/>
    <w:rsid w:val="00A67405"/>
    <w:rsid w:val="00A67544"/>
    <w:rsid w:val="00A679D3"/>
    <w:rsid w:val="00A67A3E"/>
    <w:rsid w:val="00A701ED"/>
    <w:rsid w:val="00A7022D"/>
    <w:rsid w:val="00A70653"/>
    <w:rsid w:val="00A7075B"/>
    <w:rsid w:val="00A70A8F"/>
    <w:rsid w:val="00A70BB9"/>
    <w:rsid w:val="00A70F23"/>
    <w:rsid w:val="00A71956"/>
    <w:rsid w:val="00A71C91"/>
    <w:rsid w:val="00A71C94"/>
    <w:rsid w:val="00A71CE6"/>
    <w:rsid w:val="00A71D23"/>
    <w:rsid w:val="00A71DB7"/>
    <w:rsid w:val="00A71F5A"/>
    <w:rsid w:val="00A720E6"/>
    <w:rsid w:val="00A7241E"/>
    <w:rsid w:val="00A72CF5"/>
    <w:rsid w:val="00A7333A"/>
    <w:rsid w:val="00A736DB"/>
    <w:rsid w:val="00A73D0D"/>
    <w:rsid w:val="00A74A92"/>
    <w:rsid w:val="00A74B3A"/>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94A"/>
    <w:rsid w:val="00A80CE3"/>
    <w:rsid w:val="00A80E62"/>
    <w:rsid w:val="00A80E63"/>
    <w:rsid w:val="00A80F0C"/>
    <w:rsid w:val="00A810D7"/>
    <w:rsid w:val="00A820F3"/>
    <w:rsid w:val="00A82736"/>
    <w:rsid w:val="00A8297F"/>
    <w:rsid w:val="00A82980"/>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120C"/>
    <w:rsid w:val="00A92189"/>
    <w:rsid w:val="00A9223D"/>
    <w:rsid w:val="00A922A2"/>
    <w:rsid w:val="00A923EA"/>
    <w:rsid w:val="00A923FC"/>
    <w:rsid w:val="00A92819"/>
    <w:rsid w:val="00A9282A"/>
    <w:rsid w:val="00A93004"/>
    <w:rsid w:val="00A9327B"/>
    <w:rsid w:val="00A93567"/>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594E"/>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A83"/>
    <w:rsid w:val="00AA3005"/>
    <w:rsid w:val="00AA36BA"/>
    <w:rsid w:val="00AA383B"/>
    <w:rsid w:val="00AA38FE"/>
    <w:rsid w:val="00AA39C5"/>
    <w:rsid w:val="00AA3B06"/>
    <w:rsid w:val="00AA3CF1"/>
    <w:rsid w:val="00AA3DB7"/>
    <w:rsid w:val="00AA3E60"/>
    <w:rsid w:val="00AA43D9"/>
    <w:rsid w:val="00AA4715"/>
    <w:rsid w:val="00AA4811"/>
    <w:rsid w:val="00AA4908"/>
    <w:rsid w:val="00AA4D83"/>
    <w:rsid w:val="00AA5006"/>
    <w:rsid w:val="00AA51F5"/>
    <w:rsid w:val="00AA522D"/>
    <w:rsid w:val="00AA550A"/>
    <w:rsid w:val="00AA5E3B"/>
    <w:rsid w:val="00AA5E86"/>
    <w:rsid w:val="00AA5EE3"/>
    <w:rsid w:val="00AA5FB7"/>
    <w:rsid w:val="00AA5FDC"/>
    <w:rsid w:val="00AA6642"/>
    <w:rsid w:val="00AA68B4"/>
    <w:rsid w:val="00AA6CA7"/>
    <w:rsid w:val="00AA6CAF"/>
    <w:rsid w:val="00AA7F27"/>
    <w:rsid w:val="00AB0137"/>
    <w:rsid w:val="00AB0543"/>
    <w:rsid w:val="00AB0AC9"/>
    <w:rsid w:val="00AB0B17"/>
    <w:rsid w:val="00AB0FD1"/>
    <w:rsid w:val="00AB1021"/>
    <w:rsid w:val="00AB1282"/>
    <w:rsid w:val="00AB1397"/>
    <w:rsid w:val="00AB1499"/>
    <w:rsid w:val="00AB185A"/>
    <w:rsid w:val="00AB1BA7"/>
    <w:rsid w:val="00AB1D82"/>
    <w:rsid w:val="00AB1E04"/>
    <w:rsid w:val="00AB1F3E"/>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473"/>
    <w:rsid w:val="00AB77F9"/>
    <w:rsid w:val="00AB7C6B"/>
    <w:rsid w:val="00AB7F81"/>
    <w:rsid w:val="00AB7FAD"/>
    <w:rsid w:val="00AC024E"/>
    <w:rsid w:val="00AC0705"/>
    <w:rsid w:val="00AC083C"/>
    <w:rsid w:val="00AC0BD1"/>
    <w:rsid w:val="00AC109B"/>
    <w:rsid w:val="00AC10BA"/>
    <w:rsid w:val="00AC1BFE"/>
    <w:rsid w:val="00AC20BA"/>
    <w:rsid w:val="00AC25C1"/>
    <w:rsid w:val="00AC2918"/>
    <w:rsid w:val="00AC2960"/>
    <w:rsid w:val="00AC2D0F"/>
    <w:rsid w:val="00AC424F"/>
    <w:rsid w:val="00AC44BC"/>
    <w:rsid w:val="00AC4651"/>
    <w:rsid w:val="00AC4727"/>
    <w:rsid w:val="00AC4826"/>
    <w:rsid w:val="00AC4ACC"/>
    <w:rsid w:val="00AC4C24"/>
    <w:rsid w:val="00AC4C6D"/>
    <w:rsid w:val="00AC4DCD"/>
    <w:rsid w:val="00AC4EE1"/>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6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3994"/>
    <w:rsid w:val="00AD42DF"/>
    <w:rsid w:val="00AD452C"/>
    <w:rsid w:val="00AD460F"/>
    <w:rsid w:val="00AD463E"/>
    <w:rsid w:val="00AD4D2A"/>
    <w:rsid w:val="00AD4E51"/>
    <w:rsid w:val="00AD51AE"/>
    <w:rsid w:val="00AD542F"/>
    <w:rsid w:val="00AD54F6"/>
    <w:rsid w:val="00AD596B"/>
    <w:rsid w:val="00AD5CE9"/>
    <w:rsid w:val="00AD5F0C"/>
    <w:rsid w:val="00AD697B"/>
    <w:rsid w:val="00AD6ADF"/>
    <w:rsid w:val="00AD6C87"/>
    <w:rsid w:val="00AD6C96"/>
    <w:rsid w:val="00AD6CB5"/>
    <w:rsid w:val="00AD6F12"/>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89A"/>
    <w:rsid w:val="00AF0A72"/>
    <w:rsid w:val="00AF0E3B"/>
    <w:rsid w:val="00AF0F2D"/>
    <w:rsid w:val="00AF10BB"/>
    <w:rsid w:val="00AF1132"/>
    <w:rsid w:val="00AF127C"/>
    <w:rsid w:val="00AF13F9"/>
    <w:rsid w:val="00AF1CEA"/>
    <w:rsid w:val="00AF1FAC"/>
    <w:rsid w:val="00AF2053"/>
    <w:rsid w:val="00AF2563"/>
    <w:rsid w:val="00AF25D5"/>
    <w:rsid w:val="00AF2D7F"/>
    <w:rsid w:val="00AF2E8D"/>
    <w:rsid w:val="00AF3DBB"/>
    <w:rsid w:val="00AF42C2"/>
    <w:rsid w:val="00AF49E0"/>
    <w:rsid w:val="00AF4C48"/>
    <w:rsid w:val="00AF5194"/>
    <w:rsid w:val="00AF5251"/>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009"/>
    <w:rsid w:val="00B005E4"/>
    <w:rsid w:val="00B00752"/>
    <w:rsid w:val="00B007C9"/>
    <w:rsid w:val="00B00A0E"/>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A6F"/>
    <w:rsid w:val="00B03C25"/>
    <w:rsid w:val="00B03C2B"/>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752"/>
    <w:rsid w:val="00B11918"/>
    <w:rsid w:val="00B11CF4"/>
    <w:rsid w:val="00B1223D"/>
    <w:rsid w:val="00B12327"/>
    <w:rsid w:val="00B1239E"/>
    <w:rsid w:val="00B12693"/>
    <w:rsid w:val="00B12957"/>
    <w:rsid w:val="00B1297C"/>
    <w:rsid w:val="00B12B24"/>
    <w:rsid w:val="00B12E8D"/>
    <w:rsid w:val="00B1305F"/>
    <w:rsid w:val="00B1319D"/>
    <w:rsid w:val="00B13314"/>
    <w:rsid w:val="00B13AAB"/>
    <w:rsid w:val="00B13B6A"/>
    <w:rsid w:val="00B13BB9"/>
    <w:rsid w:val="00B13DCA"/>
    <w:rsid w:val="00B14149"/>
    <w:rsid w:val="00B143A2"/>
    <w:rsid w:val="00B143AA"/>
    <w:rsid w:val="00B147F0"/>
    <w:rsid w:val="00B14969"/>
    <w:rsid w:val="00B153AB"/>
    <w:rsid w:val="00B153E1"/>
    <w:rsid w:val="00B1541D"/>
    <w:rsid w:val="00B15656"/>
    <w:rsid w:val="00B156A9"/>
    <w:rsid w:val="00B156DD"/>
    <w:rsid w:val="00B15C3A"/>
    <w:rsid w:val="00B15F83"/>
    <w:rsid w:val="00B16062"/>
    <w:rsid w:val="00B160FF"/>
    <w:rsid w:val="00B1618F"/>
    <w:rsid w:val="00B16322"/>
    <w:rsid w:val="00B164A1"/>
    <w:rsid w:val="00B1658D"/>
    <w:rsid w:val="00B1662E"/>
    <w:rsid w:val="00B16A18"/>
    <w:rsid w:val="00B16A6F"/>
    <w:rsid w:val="00B16B50"/>
    <w:rsid w:val="00B16B6B"/>
    <w:rsid w:val="00B17389"/>
    <w:rsid w:val="00B174BF"/>
    <w:rsid w:val="00B179B5"/>
    <w:rsid w:val="00B17ABD"/>
    <w:rsid w:val="00B17B6A"/>
    <w:rsid w:val="00B17E22"/>
    <w:rsid w:val="00B17EAD"/>
    <w:rsid w:val="00B209E8"/>
    <w:rsid w:val="00B20A59"/>
    <w:rsid w:val="00B20DB5"/>
    <w:rsid w:val="00B20DE8"/>
    <w:rsid w:val="00B20FA9"/>
    <w:rsid w:val="00B2186F"/>
    <w:rsid w:val="00B21980"/>
    <w:rsid w:val="00B21BA2"/>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347"/>
    <w:rsid w:val="00B246C0"/>
    <w:rsid w:val="00B25243"/>
    <w:rsid w:val="00B25762"/>
    <w:rsid w:val="00B258C0"/>
    <w:rsid w:val="00B25B40"/>
    <w:rsid w:val="00B25D2F"/>
    <w:rsid w:val="00B25F00"/>
    <w:rsid w:val="00B25FDE"/>
    <w:rsid w:val="00B2603A"/>
    <w:rsid w:val="00B2691D"/>
    <w:rsid w:val="00B26AB0"/>
    <w:rsid w:val="00B26AD2"/>
    <w:rsid w:val="00B26CA2"/>
    <w:rsid w:val="00B26F64"/>
    <w:rsid w:val="00B279FD"/>
    <w:rsid w:val="00B27A43"/>
    <w:rsid w:val="00B30099"/>
    <w:rsid w:val="00B300AF"/>
    <w:rsid w:val="00B30403"/>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7DC"/>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3D5"/>
    <w:rsid w:val="00B4662D"/>
    <w:rsid w:val="00B466ED"/>
    <w:rsid w:val="00B46713"/>
    <w:rsid w:val="00B469EF"/>
    <w:rsid w:val="00B46B01"/>
    <w:rsid w:val="00B473A1"/>
    <w:rsid w:val="00B475D1"/>
    <w:rsid w:val="00B476BE"/>
    <w:rsid w:val="00B47738"/>
    <w:rsid w:val="00B47B4B"/>
    <w:rsid w:val="00B500C8"/>
    <w:rsid w:val="00B50140"/>
    <w:rsid w:val="00B50245"/>
    <w:rsid w:val="00B50636"/>
    <w:rsid w:val="00B50673"/>
    <w:rsid w:val="00B507E2"/>
    <w:rsid w:val="00B50907"/>
    <w:rsid w:val="00B50C60"/>
    <w:rsid w:val="00B51542"/>
    <w:rsid w:val="00B51680"/>
    <w:rsid w:val="00B5180E"/>
    <w:rsid w:val="00B51870"/>
    <w:rsid w:val="00B51B54"/>
    <w:rsid w:val="00B51D1D"/>
    <w:rsid w:val="00B51EF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BB"/>
    <w:rsid w:val="00B560C9"/>
    <w:rsid w:val="00B56533"/>
    <w:rsid w:val="00B56955"/>
    <w:rsid w:val="00B56C8A"/>
    <w:rsid w:val="00B56CFC"/>
    <w:rsid w:val="00B56FAF"/>
    <w:rsid w:val="00B57187"/>
    <w:rsid w:val="00B5758C"/>
    <w:rsid w:val="00B5774D"/>
    <w:rsid w:val="00B57777"/>
    <w:rsid w:val="00B57879"/>
    <w:rsid w:val="00B57A17"/>
    <w:rsid w:val="00B57A92"/>
    <w:rsid w:val="00B603E8"/>
    <w:rsid w:val="00B60560"/>
    <w:rsid w:val="00B6057B"/>
    <w:rsid w:val="00B606CE"/>
    <w:rsid w:val="00B6093A"/>
    <w:rsid w:val="00B60A3B"/>
    <w:rsid w:val="00B60FD3"/>
    <w:rsid w:val="00B61723"/>
    <w:rsid w:val="00B617F4"/>
    <w:rsid w:val="00B61A16"/>
    <w:rsid w:val="00B61BE2"/>
    <w:rsid w:val="00B61F0F"/>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B4D"/>
    <w:rsid w:val="00B71D1C"/>
    <w:rsid w:val="00B71DC8"/>
    <w:rsid w:val="00B71E1F"/>
    <w:rsid w:val="00B720F2"/>
    <w:rsid w:val="00B721E8"/>
    <w:rsid w:val="00B72218"/>
    <w:rsid w:val="00B7223C"/>
    <w:rsid w:val="00B7234E"/>
    <w:rsid w:val="00B72564"/>
    <w:rsid w:val="00B72B7B"/>
    <w:rsid w:val="00B734FB"/>
    <w:rsid w:val="00B73596"/>
    <w:rsid w:val="00B735FC"/>
    <w:rsid w:val="00B73B49"/>
    <w:rsid w:val="00B73F60"/>
    <w:rsid w:val="00B740DD"/>
    <w:rsid w:val="00B741F0"/>
    <w:rsid w:val="00B7427E"/>
    <w:rsid w:val="00B746C6"/>
    <w:rsid w:val="00B7488E"/>
    <w:rsid w:val="00B751DA"/>
    <w:rsid w:val="00B751F7"/>
    <w:rsid w:val="00B75322"/>
    <w:rsid w:val="00B75496"/>
    <w:rsid w:val="00B75715"/>
    <w:rsid w:val="00B75757"/>
    <w:rsid w:val="00B75B0A"/>
    <w:rsid w:val="00B75CFD"/>
    <w:rsid w:val="00B75DC9"/>
    <w:rsid w:val="00B75E95"/>
    <w:rsid w:val="00B7604C"/>
    <w:rsid w:val="00B7627D"/>
    <w:rsid w:val="00B76391"/>
    <w:rsid w:val="00B7652C"/>
    <w:rsid w:val="00B766BF"/>
    <w:rsid w:val="00B76881"/>
    <w:rsid w:val="00B76D5E"/>
    <w:rsid w:val="00B76E0E"/>
    <w:rsid w:val="00B76FA6"/>
    <w:rsid w:val="00B7728D"/>
    <w:rsid w:val="00B7751A"/>
    <w:rsid w:val="00B7755B"/>
    <w:rsid w:val="00B7791C"/>
    <w:rsid w:val="00B77977"/>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4CF"/>
    <w:rsid w:val="00B82615"/>
    <w:rsid w:val="00B82A67"/>
    <w:rsid w:val="00B83090"/>
    <w:rsid w:val="00B832DC"/>
    <w:rsid w:val="00B83444"/>
    <w:rsid w:val="00B836ED"/>
    <w:rsid w:val="00B836F7"/>
    <w:rsid w:val="00B83841"/>
    <w:rsid w:val="00B83855"/>
    <w:rsid w:val="00B83B06"/>
    <w:rsid w:val="00B83BD2"/>
    <w:rsid w:val="00B842B8"/>
    <w:rsid w:val="00B84364"/>
    <w:rsid w:val="00B843C8"/>
    <w:rsid w:val="00B84826"/>
    <w:rsid w:val="00B84910"/>
    <w:rsid w:val="00B849D7"/>
    <w:rsid w:val="00B853BE"/>
    <w:rsid w:val="00B85410"/>
    <w:rsid w:val="00B85929"/>
    <w:rsid w:val="00B85A47"/>
    <w:rsid w:val="00B85B52"/>
    <w:rsid w:val="00B8601D"/>
    <w:rsid w:val="00B861AF"/>
    <w:rsid w:val="00B86333"/>
    <w:rsid w:val="00B86476"/>
    <w:rsid w:val="00B86A3D"/>
    <w:rsid w:val="00B86B77"/>
    <w:rsid w:val="00B86D96"/>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18"/>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949"/>
    <w:rsid w:val="00BB1CE7"/>
    <w:rsid w:val="00BB1DEF"/>
    <w:rsid w:val="00BB2011"/>
    <w:rsid w:val="00BB2A9E"/>
    <w:rsid w:val="00BB2FD3"/>
    <w:rsid w:val="00BB2FDF"/>
    <w:rsid w:val="00BB2FFF"/>
    <w:rsid w:val="00BB301B"/>
    <w:rsid w:val="00BB30AB"/>
    <w:rsid w:val="00BB31D0"/>
    <w:rsid w:val="00BB3AC3"/>
    <w:rsid w:val="00BB3C10"/>
    <w:rsid w:val="00BB44A4"/>
    <w:rsid w:val="00BB478A"/>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365"/>
    <w:rsid w:val="00BC44F8"/>
    <w:rsid w:val="00BC46EF"/>
    <w:rsid w:val="00BC4A2D"/>
    <w:rsid w:val="00BC4A37"/>
    <w:rsid w:val="00BC4EF0"/>
    <w:rsid w:val="00BC4F8B"/>
    <w:rsid w:val="00BC50BF"/>
    <w:rsid w:val="00BC5325"/>
    <w:rsid w:val="00BC5403"/>
    <w:rsid w:val="00BC553A"/>
    <w:rsid w:val="00BC57DB"/>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3DE4"/>
    <w:rsid w:val="00BD47BE"/>
    <w:rsid w:val="00BD4B18"/>
    <w:rsid w:val="00BD4B3A"/>
    <w:rsid w:val="00BD4C8E"/>
    <w:rsid w:val="00BD4D16"/>
    <w:rsid w:val="00BD4EAE"/>
    <w:rsid w:val="00BD4F79"/>
    <w:rsid w:val="00BD50AA"/>
    <w:rsid w:val="00BD5135"/>
    <w:rsid w:val="00BD541D"/>
    <w:rsid w:val="00BD5B06"/>
    <w:rsid w:val="00BD5FCA"/>
    <w:rsid w:val="00BD6A60"/>
    <w:rsid w:val="00BD6AC2"/>
    <w:rsid w:val="00BD6CC6"/>
    <w:rsid w:val="00BD7291"/>
    <w:rsid w:val="00BD73EA"/>
    <w:rsid w:val="00BD7EA3"/>
    <w:rsid w:val="00BD7FE2"/>
    <w:rsid w:val="00BE00AE"/>
    <w:rsid w:val="00BE016E"/>
    <w:rsid w:val="00BE039B"/>
    <w:rsid w:val="00BE0B19"/>
    <w:rsid w:val="00BE0DD8"/>
    <w:rsid w:val="00BE0E4B"/>
    <w:rsid w:val="00BE1786"/>
    <w:rsid w:val="00BE18FE"/>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3D"/>
    <w:rsid w:val="00BE3A87"/>
    <w:rsid w:val="00BE3B2E"/>
    <w:rsid w:val="00BE3B72"/>
    <w:rsid w:val="00BE3CF1"/>
    <w:rsid w:val="00BE3FC0"/>
    <w:rsid w:val="00BE42CB"/>
    <w:rsid w:val="00BE44BF"/>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6E0"/>
    <w:rsid w:val="00BF1988"/>
    <w:rsid w:val="00BF19CE"/>
    <w:rsid w:val="00BF1B1C"/>
    <w:rsid w:val="00BF1B71"/>
    <w:rsid w:val="00BF1E3C"/>
    <w:rsid w:val="00BF204F"/>
    <w:rsid w:val="00BF2976"/>
    <w:rsid w:val="00BF2B6F"/>
    <w:rsid w:val="00BF2FF8"/>
    <w:rsid w:val="00BF314F"/>
    <w:rsid w:val="00BF31F1"/>
    <w:rsid w:val="00BF321A"/>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4E"/>
    <w:rsid w:val="00BF73F2"/>
    <w:rsid w:val="00BF7501"/>
    <w:rsid w:val="00BF7AE8"/>
    <w:rsid w:val="00BF7B44"/>
    <w:rsid w:val="00BF7F31"/>
    <w:rsid w:val="00C0007A"/>
    <w:rsid w:val="00C003C6"/>
    <w:rsid w:val="00C006F4"/>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A96"/>
    <w:rsid w:val="00C04CCA"/>
    <w:rsid w:val="00C04D77"/>
    <w:rsid w:val="00C04E7C"/>
    <w:rsid w:val="00C05222"/>
    <w:rsid w:val="00C052A6"/>
    <w:rsid w:val="00C05709"/>
    <w:rsid w:val="00C05983"/>
    <w:rsid w:val="00C05BEC"/>
    <w:rsid w:val="00C05F7C"/>
    <w:rsid w:val="00C065B0"/>
    <w:rsid w:val="00C06AE4"/>
    <w:rsid w:val="00C06D5E"/>
    <w:rsid w:val="00C06E48"/>
    <w:rsid w:val="00C06E7D"/>
    <w:rsid w:val="00C071BC"/>
    <w:rsid w:val="00C07217"/>
    <w:rsid w:val="00C077B9"/>
    <w:rsid w:val="00C07936"/>
    <w:rsid w:val="00C07C88"/>
    <w:rsid w:val="00C101C3"/>
    <w:rsid w:val="00C1078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422"/>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75B"/>
    <w:rsid w:val="00C269D7"/>
    <w:rsid w:val="00C26DB8"/>
    <w:rsid w:val="00C27455"/>
    <w:rsid w:val="00C27A17"/>
    <w:rsid w:val="00C30301"/>
    <w:rsid w:val="00C30359"/>
    <w:rsid w:val="00C305A0"/>
    <w:rsid w:val="00C30692"/>
    <w:rsid w:val="00C309CA"/>
    <w:rsid w:val="00C30E9F"/>
    <w:rsid w:val="00C31014"/>
    <w:rsid w:val="00C31684"/>
    <w:rsid w:val="00C320F3"/>
    <w:rsid w:val="00C326BC"/>
    <w:rsid w:val="00C32DEA"/>
    <w:rsid w:val="00C33023"/>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B5A"/>
    <w:rsid w:val="00C35C31"/>
    <w:rsid w:val="00C3654C"/>
    <w:rsid w:val="00C367EB"/>
    <w:rsid w:val="00C36A28"/>
    <w:rsid w:val="00C36BF5"/>
    <w:rsid w:val="00C36DBC"/>
    <w:rsid w:val="00C36E3D"/>
    <w:rsid w:val="00C36E84"/>
    <w:rsid w:val="00C3741E"/>
    <w:rsid w:val="00C3758D"/>
    <w:rsid w:val="00C376BA"/>
    <w:rsid w:val="00C379AB"/>
    <w:rsid w:val="00C379D1"/>
    <w:rsid w:val="00C379E1"/>
    <w:rsid w:val="00C40201"/>
    <w:rsid w:val="00C402B5"/>
    <w:rsid w:val="00C40373"/>
    <w:rsid w:val="00C4082D"/>
    <w:rsid w:val="00C40AE6"/>
    <w:rsid w:val="00C40F20"/>
    <w:rsid w:val="00C40FA2"/>
    <w:rsid w:val="00C411AF"/>
    <w:rsid w:val="00C4138D"/>
    <w:rsid w:val="00C41CE6"/>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1A0"/>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5592"/>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359B"/>
    <w:rsid w:val="00C73D5D"/>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6F4"/>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7CA"/>
    <w:rsid w:val="00C83CF3"/>
    <w:rsid w:val="00C83F3D"/>
    <w:rsid w:val="00C845BE"/>
    <w:rsid w:val="00C84931"/>
    <w:rsid w:val="00C84D9E"/>
    <w:rsid w:val="00C84DC8"/>
    <w:rsid w:val="00C84E4E"/>
    <w:rsid w:val="00C84EED"/>
    <w:rsid w:val="00C85006"/>
    <w:rsid w:val="00C85054"/>
    <w:rsid w:val="00C85892"/>
    <w:rsid w:val="00C85BE2"/>
    <w:rsid w:val="00C861B4"/>
    <w:rsid w:val="00C86273"/>
    <w:rsid w:val="00C86297"/>
    <w:rsid w:val="00C8646D"/>
    <w:rsid w:val="00C8654E"/>
    <w:rsid w:val="00C86D08"/>
    <w:rsid w:val="00C86F53"/>
    <w:rsid w:val="00C87448"/>
    <w:rsid w:val="00C875FF"/>
    <w:rsid w:val="00C9017B"/>
    <w:rsid w:val="00C904F3"/>
    <w:rsid w:val="00C90713"/>
    <w:rsid w:val="00C90BFD"/>
    <w:rsid w:val="00C90CAC"/>
    <w:rsid w:val="00C90D3A"/>
    <w:rsid w:val="00C90E0C"/>
    <w:rsid w:val="00C91114"/>
    <w:rsid w:val="00C9140D"/>
    <w:rsid w:val="00C917CC"/>
    <w:rsid w:val="00C918A2"/>
    <w:rsid w:val="00C91979"/>
    <w:rsid w:val="00C919A4"/>
    <w:rsid w:val="00C91D50"/>
    <w:rsid w:val="00C91DE3"/>
    <w:rsid w:val="00C91E4E"/>
    <w:rsid w:val="00C925E6"/>
    <w:rsid w:val="00C92913"/>
    <w:rsid w:val="00C92C7F"/>
    <w:rsid w:val="00C92DF6"/>
    <w:rsid w:val="00C92F25"/>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6F9A"/>
    <w:rsid w:val="00C97095"/>
    <w:rsid w:val="00C9726B"/>
    <w:rsid w:val="00C9757D"/>
    <w:rsid w:val="00C9780A"/>
    <w:rsid w:val="00C97872"/>
    <w:rsid w:val="00C979B6"/>
    <w:rsid w:val="00C97A1F"/>
    <w:rsid w:val="00C97DE1"/>
    <w:rsid w:val="00CA028F"/>
    <w:rsid w:val="00CA03A5"/>
    <w:rsid w:val="00CA0532"/>
    <w:rsid w:val="00CA0E1D"/>
    <w:rsid w:val="00CA15A0"/>
    <w:rsid w:val="00CA17C2"/>
    <w:rsid w:val="00CA1932"/>
    <w:rsid w:val="00CA2241"/>
    <w:rsid w:val="00CA2793"/>
    <w:rsid w:val="00CA2895"/>
    <w:rsid w:val="00CA2B83"/>
    <w:rsid w:val="00CA2D89"/>
    <w:rsid w:val="00CA3021"/>
    <w:rsid w:val="00CA34F4"/>
    <w:rsid w:val="00CA359B"/>
    <w:rsid w:val="00CA392F"/>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444"/>
    <w:rsid w:val="00CB36F2"/>
    <w:rsid w:val="00CB38E1"/>
    <w:rsid w:val="00CB3A09"/>
    <w:rsid w:val="00CB3E41"/>
    <w:rsid w:val="00CB3E4C"/>
    <w:rsid w:val="00CB3F3B"/>
    <w:rsid w:val="00CB42EA"/>
    <w:rsid w:val="00CB43B2"/>
    <w:rsid w:val="00CB4A81"/>
    <w:rsid w:val="00CB4D57"/>
    <w:rsid w:val="00CB4E80"/>
    <w:rsid w:val="00CB5054"/>
    <w:rsid w:val="00CB50DF"/>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1C1"/>
    <w:rsid w:val="00CC29E1"/>
    <w:rsid w:val="00CC2C6E"/>
    <w:rsid w:val="00CC3631"/>
    <w:rsid w:val="00CC3A23"/>
    <w:rsid w:val="00CC3D82"/>
    <w:rsid w:val="00CC42C4"/>
    <w:rsid w:val="00CC4358"/>
    <w:rsid w:val="00CC445C"/>
    <w:rsid w:val="00CC453A"/>
    <w:rsid w:val="00CC4CA2"/>
    <w:rsid w:val="00CC4F82"/>
    <w:rsid w:val="00CC5584"/>
    <w:rsid w:val="00CC590C"/>
    <w:rsid w:val="00CC6105"/>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81F"/>
    <w:rsid w:val="00CD4B24"/>
    <w:rsid w:val="00CD4F1F"/>
    <w:rsid w:val="00CD5099"/>
    <w:rsid w:val="00CD54B3"/>
    <w:rsid w:val="00CD5512"/>
    <w:rsid w:val="00CD5565"/>
    <w:rsid w:val="00CD5884"/>
    <w:rsid w:val="00CD5F9D"/>
    <w:rsid w:val="00CD61F1"/>
    <w:rsid w:val="00CD6316"/>
    <w:rsid w:val="00CD692A"/>
    <w:rsid w:val="00CD6E3D"/>
    <w:rsid w:val="00CD71AB"/>
    <w:rsid w:val="00CD7644"/>
    <w:rsid w:val="00CD7B29"/>
    <w:rsid w:val="00CD7D0F"/>
    <w:rsid w:val="00CE0109"/>
    <w:rsid w:val="00CE07C0"/>
    <w:rsid w:val="00CE0A0A"/>
    <w:rsid w:val="00CE0B8A"/>
    <w:rsid w:val="00CE13CD"/>
    <w:rsid w:val="00CE1611"/>
    <w:rsid w:val="00CE1FC5"/>
    <w:rsid w:val="00CE22A2"/>
    <w:rsid w:val="00CE2495"/>
    <w:rsid w:val="00CE24A9"/>
    <w:rsid w:val="00CE2D7B"/>
    <w:rsid w:val="00CE2E4D"/>
    <w:rsid w:val="00CE310C"/>
    <w:rsid w:val="00CE337B"/>
    <w:rsid w:val="00CE37CA"/>
    <w:rsid w:val="00CE38CC"/>
    <w:rsid w:val="00CE3E30"/>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7AF"/>
    <w:rsid w:val="00CE6AFF"/>
    <w:rsid w:val="00CE6F61"/>
    <w:rsid w:val="00CE70E8"/>
    <w:rsid w:val="00CE72DC"/>
    <w:rsid w:val="00CE7345"/>
    <w:rsid w:val="00CE78AE"/>
    <w:rsid w:val="00CE7E62"/>
    <w:rsid w:val="00CF03F8"/>
    <w:rsid w:val="00CF090D"/>
    <w:rsid w:val="00CF0925"/>
    <w:rsid w:val="00CF099A"/>
    <w:rsid w:val="00CF0E47"/>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D"/>
    <w:rsid w:val="00CF488E"/>
    <w:rsid w:val="00CF4DA9"/>
    <w:rsid w:val="00CF5232"/>
    <w:rsid w:val="00CF5263"/>
    <w:rsid w:val="00CF5266"/>
    <w:rsid w:val="00CF5408"/>
    <w:rsid w:val="00CF571B"/>
    <w:rsid w:val="00CF5DC4"/>
    <w:rsid w:val="00CF5EB9"/>
    <w:rsid w:val="00CF5F3A"/>
    <w:rsid w:val="00CF60B5"/>
    <w:rsid w:val="00CF6428"/>
    <w:rsid w:val="00CF6AEC"/>
    <w:rsid w:val="00CF6D72"/>
    <w:rsid w:val="00CF70B1"/>
    <w:rsid w:val="00CF7F01"/>
    <w:rsid w:val="00D0024F"/>
    <w:rsid w:val="00D0038F"/>
    <w:rsid w:val="00D003C7"/>
    <w:rsid w:val="00D004FA"/>
    <w:rsid w:val="00D0050D"/>
    <w:rsid w:val="00D0089E"/>
    <w:rsid w:val="00D008C1"/>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2AF"/>
    <w:rsid w:val="00D06729"/>
    <w:rsid w:val="00D06813"/>
    <w:rsid w:val="00D06EF8"/>
    <w:rsid w:val="00D07123"/>
    <w:rsid w:val="00D071F8"/>
    <w:rsid w:val="00D07252"/>
    <w:rsid w:val="00D074F4"/>
    <w:rsid w:val="00D07763"/>
    <w:rsid w:val="00D07CE1"/>
    <w:rsid w:val="00D1026A"/>
    <w:rsid w:val="00D107CF"/>
    <w:rsid w:val="00D11928"/>
    <w:rsid w:val="00D119AF"/>
    <w:rsid w:val="00D11B0B"/>
    <w:rsid w:val="00D11DA8"/>
    <w:rsid w:val="00D120F2"/>
    <w:rsid w:val="00D12293"/>
    <w:rsid w:val="00D12410"/>
    <w:rsid w:val="00D125DA"/>
    <w:rsid w:val="00D12659"/>
    <w:rsid w:val="00D12867"/>
    <w:rsid w:val="00D12938"/>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64C"/>
    <w:rsid w:val="00D167B7"/>
    <w:rsid w:val="00D16D2D"/>
    <w:rsid w:val="00D16E87"/>
    <w:rsid w:val="00D1735D"/>
    <w:rsid w:val="00D17CD9"/>
    <w:rsid w:val="00D17D89"/>
    <w:rsid w:val="00D17DFC"/>
    <w:rsid w:val="00D20055"/>
    <w:rsid w:val="00D20504"/>
    <w:rsid w:val="00D2086E"/>
    <w:rsid w:val="00D20872"/>
    <w:rsid w:val="00D2092F"/>
    <w:rsid w:val="00D20B39"/>
    <w:rsid w:val="00D20B8B"/>
    <w:rsid w:val="00D20BD0"/>
    <w:rsid w:val="00D20D9A"/>
    <w:rsid w:val="00D2162C"/>
    <w:rsid w:val="00D21A3C"/>
    <w:rsid w:val="00D21C36"/>
    <w:rsid w:val="00D21F08"/>
    <w:rsid w:val="00D22160"/>
    <w:rsid w:val="00D224D5"/>
    <w:rsid w:val="00D22502"/>
    <w:rsid w:val="00D22B4E"/>
    <w:rsid w:val="00D22E53"/>
    <w:rsid w:val="00D233F1"/>
    <w:rsid w:val="00D23AE2"/>
    <w:rsid w:val="00D23CB3"/>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27F4F"/>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4EB"/>
    <w:rsid w:val="00D335F6"/>
    <w:rsid w:val="00D3396F"/>
    <w:rsid w:val="00D33CF3"/>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E4"/>
    <w:rsid w:val="00D473A3"/>
    <w:rsid w:val="00D479E5"/>
    <w:rsid w:val="00D47B51"/>
    <w:rsid w:val="00D47C36"/>
    <w:rsid w:val="00D47DD0"/>
    <w:rsid w:val="00D50024"/>
    <w:rsid w:val="00D50183"/>
    <w:rsid w:val="00D5019C"/>
    <w:rsid w:val="00D50206"/>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305"/>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0D7"/>
    <w:rsid w:val="00D6211D"/>
    <w:rsid w:val="00D6238A"/>
    <w:rsid w:val="00D6247D"/>
    <w:rsid w:val="00D6275D"/>
    <w:rsid w:val="00D628CD"/>
    <w:rsid w:val="00D6299B"/>
    <w:rsid w:val="00D62C97"/>
    <w:rsid w:val="00D62E54"/>
    <w:rsid w:val="00D62F99"/>
    <w:rsid w:val="00D62FEB"/>
    <w:rsid w:val="00D6336E"/>
    <w:rsid w:val="00D63517"/>
    <w:rsid w:val="00D6371D"/>
    <w:rsid w:val="00D63934"/>
    <w:rsid w:val="00D639F2"/>
    <w:rsid w:val="00D63B75"/>
    <w:rsid w:val="00D63C08"/>
    <w:rsid w:val="00D63E55"/>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ADB"/>
    <w:rsid w:val="00D67E3B"/>
    <w:rsid w:val="00D706E8"/>
    <w:rsid w:val="00D70A29"/>
    <w:rsid w:val="00D70D05"/>
    <w:rsid w:val="00D70F74"/>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C69"/>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BE1"/>
    <w:rsid w:val="00D83D88"/>
    <w:rsid w:val="00D83E5F"/>
    <w:rsid w:val="00D84106"/>
    <w:rsid w:val="00D84115"/>
    <w:rsid w:val="00D8427C"/>
    <w:rsid w:val="00D842A3"/>
    <w:rsid w:val="00D842B1"/>
    <w:rsid w:val="00D84805"/>
    <w:rsid w:val="00D84AA6"/>
    <w:rsid w:val="00D84AEE"/>
    <w:rsid w:val="00D84B9B"/>
    <w:rsid w:val="00D84C0C"/>
    <w:rsid w:val="00D85073"/>
    <w:rsid w:val="00D853DB"/>
    <w:rsid w:val="00D854D9"/>
    <w:rsid w:val="00D857B8"/>
    <w:rsid w:val="00D86008"/>
    <w:rsid w:val="00D86336"/>
    <w:rsid w:val="00D864D2"/>
    <w:rsid w:val="00D86730"/>
    <w:rsid w:val="00D86D0B"/>
    <w:rsid w:val="00D86EB1"/>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884"/>
    <w:rsid w:val="00D92A12"/>
    <w:rsid w:val="00D92C1F"/>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A12"/>
    <w:rsid w:val="00D96C19"/>
    <w:rsid w:val="00D97160"/>
    <w:rsid w:val="00D9727F"/>
    <w:rsid w:val="00D97884"/>
    <w:rsid w:val="00D97A19"/>
    <w:rsid w:val="00D97CC7"/>
    <w:rsid w:val="00D97EB9"/>
    <w:rsid w:val="00DA0867"/>
    <w:rsid w:val="00DA08D3"/>
    <w:rsid w:val="00DA0A7F"/>
    <w:rsid w:val="00DA0B33"/>
    <w:rsid w:val="00DA107A"/>
    <w:rsid w:val="00DA127B"/>
    <w:rsid w:val="00DA12FD"/>
    <w:rsid w:val="00DA1459"/>
    <w:rsid w:val="00DA15EA"/>
    <w:rsid w:val="00DA1C31"/>
    <w:rsid w:val="00DA1CC5"/>
    <w:rsid w:val="00DA1D2E"/>
    <w:rsid w:val="00DA1DD0"/>
    <w:rsid w:val="00DA20BC"/>
    <w:rsid w:val="00DA22FD"/>
    <w:rsid w:val="00DA23EE"/>
    <w:rsid w:val="00DA2606"/>
    <w:rsid w:val="00DA2C0B"/>
    <w:rsid w:val="00DA2ED7"/>
    <w:rsid w:val="00DA2FF0"/>
    <w:rsid w:val="00DA3032"/>
    <w:rsid w:val="00DA32E2"/>
    <w:rsid w:val="00DA3645"/>
    <w:rsid w:val="00DA3A02"/>
    <w:rsid w:val="00DA3E57"/>
    <w:rsid w:val="00DA3E7A"/>
    <w:rsid w:val="00DA3E7D"/>
    <w:rsid w:val="00DA408B"/>
    <w:rsid w:val="00DA422A"/>
    <w:rsid w:val="00DA430C"/>
    <w:rsid w:val="00DA457F"/>
    <w:rsid w:val="00DA461F"/>
    <w:rsid w:val="00DA46DA"/>
    <w:rsid w:val="00DA47A6"/>
    <w:rsid w:val="00DA487E"/>
    <w:rsid w:val="00DA4B4C"/>
    <w:rsid w:val="00DA4FB9"/>
    <w:rsid w:val="00DA50EB"/>
    <w:rsid w:val="00DA54ED"/>
    <w:rsid w:val="00DA54F1"/>
    <w:rsid w:val="00DA566F"/>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6F20"/>
    <w:rsid w:val="00DA702F"/>
    <w:rsid w:val="00DA71B7"/>
    <w:rsid w:val="00DA74A0"/>
    <w:rsid w:val="00DA7583"/>
    <w:rsid w:val="00DA7CA5"/>
    <w:rsid w:val="00DA7DB2"/>
    <w:rsid w:val="00DA7F8A"/>
    <w:rsid w:val="00DB0176"/>
    <w:rsid w:val="00DB03B2"/>
    <w:rsid w:val="00DB0404"/>
    <w:rsid w:val="00DB04A0"/>
    <w:rsid w:val="00DB072E"/>
    <w:rsid w:val="00DB0797"/>
    <w:rsid w:val="00DB0997"/>
    <w:rsid w:val="00DB105A"/>
    <w:rsid w:val="00DB1131"/>
    <w:rsid w:val="00DB11F8"/>
    <w:rsid w:val="00DB14E9"/>
    <w:rsid w:val="00DB18F8"/>
    <w:rsid w:val="00DB1E74"/>
    <w:rsid w:val="00DB1E85"/>
    <w:rsid w:val="00DB1F2A"/>
    <w:rsid w:val="00DB1FC4"/>
    <w:rsid w:val="00DB2750"/>
    <w:rsid w:val="00DB297F"/>
    <w:rsid w:val="00DB2B84"/>
    <w:rsid w:val="00DB2CC5"/>
    <w:rsid w:val="00DB3153"/>
    <w:rsid w:val="00DB317A"/>
    <w:rsid w:val="00DB35C6"/>
    <w:rsid w:val="00DB35D7"/>
    <w:rsid w:val="00DB3653"/>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1E74"/>
    <w:rsid w:val="00DC2243"/>
    <w:rsid w:val="00DC2331"/>
    <w:rsid w:val="00DC2504"/>
    <w:rsid w:val="00DC280B"/>
    <w:rsid w:val="00DC2B8E"/>
    <w:rsid w:val="00DC2EDA"/>
    <w:rsid w:val="00DC30D1"/>
    <w:rsid w:val="00DC3188"/>
    <w:rsid w:val="00DC3237"/>
    <w:rsid w:val="00DC3302"/>
    <w:rsid w:val="00DC38FB"/>
    <w:rsid w:val="00DC3A46"/>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47B"/>
    <w:rsid w:val="00DD05D6"/>
    <w:rsid w:val="00DD1343"/>
    <w:rsid w:val="00DD1A60"/>
    <w:rsid w:val="00DD2025"/>
    <w:rsid w:val="00DD21F5"/>
    <w:rsid w:val="00DD22EA"/>
    <w:rsid w:val="00DD23A0"/>
    <w:rsid w:val="00DD2508"/>
    <w:rsid w:val="00DD27D8"/>
    <w:rsid w:val="00DD2CD2"/>
    <w:rsid w:val="00DD336D"/>
    <w:rsid w:val="00DD34BE"/>
    <w:rsid w:val="00DD357A"/>
    <w:rsid w:val="00DD371C"/>
    <w:rsid w:val="00DD3957"/>
    <w:rsid w:val="00DD3990"/>
    <w:rsid w:val="00DD3EF5"/>
    <w:rsid w:val="00DD4C3C"/>
    <w:rsid w:val="00DD501B"/>
    <w:rsid w:val="00DD51E4"/>
    <w:rsid w:val="00DD523D"/>
    <w:rsid w:val="00DD53FA"/>
    <w:rsid w:val="00DD5836"/>
    <w:rsid w:val="00DD5981"/>
    <w:rsid w:val="00DD5D99"/>
    <w:rsid w:val="00DD5EE8"/>
    <w:rsid w:val="00DD5F42"/>
    <w:rsid w:val="00DD613D"/>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2BF"/>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8C2"/>
    <w:rsid w:val="00DF0A3D"/>
    <w:rsid w:val="00DF0AB6"/>
    <w:rsid w:val="00DF0BF4"/>
    <w:rsid w:val="00DF0BF5"/>
    <w:rsid w:val="00DF0BF7"/>
    <w:rsid w:val="00DF11B6"/>
    <w:rsid w:val="00DF12D9"/>
    <w:rsid w:val="00DF15B7"/>
    <w:rsid w:val="00DF179D"/>
    <w:rsid w:val="00DF18C7"/>
    <w:rsid w:val="00DF1D7C"/>
    <w:rsid w:val="00DF1E9C"/>
    <w:rsid w:val="00DF1FE0"/>
    <w:rsid w:val="00DF23A3"/>
    <w:rsid w:val="00DF26B3"/>
    <w:rsid w:val="00DF2ADE"/>
    <w:rsid w:val="00DF339F"/>
    <w:rsid w:val="00DF3413"/>
    <w:rsid w:val="00DF3912"/>
    <w:rsid w:val="00DF3947"/>
    <w:rsid w:val="00DF3AC1"/>
    <w:rsid w:val="00DF4098"/>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A8A"/>
    <w:rsid w:val="00E01C4A"/>
    <w:rsid w:val="00E01CE3"/>
    <w:rsid w:val="00E01DAA"/>
    <w:rsid w:val="00E023E5"/>
    <w:rsid w:val="00E02432"/>
    <w:rsid w:val="00E0250B"/>
    <w:rsid w:val="00E0285F"/>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563"/>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33"/>
    <w:rsid w:val="00E1647A"/>
    <w:rsid w:val="00E1660B"/>
    <w:rsid w:val="00E168E3"/>
    <w:rsid w:val="00E16A7F"/>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27C07"/>
    <w:rsid w:val="00E3013E"/>
    <w:rsid w:val="00E30416"/>
    <w:rsid w:val="00E3045A"/>
    <w:rsid w:val="00E304D7"/>
    <w:rsid w:val="00E304E6"/>
    <w:rsid w:val="00E30B91"/>
    <w:rsid w:val="00E30F1F"/>
    <w:rsid w:val="00E30F9A"/>
    <w:rsid w:val="00E317DD"/>
    <w:rsid w:val="00E31887"/>
    <w:rsid w:val="00E31A77"/>
    <w:rsid w:val="00E32045"/>
    <w:rsid w:val="00E320A3"/>
    <w:rsid w:val="00E32A17"/>
    <w:rsid w:val="00E32D62"/>
    <w:rsid w:val="00E3322C"/>
    <w:rsid w:val="00E339DC"/>
    <w:rsid w:val="00E33E15"/>
    <w:rsid w:val="00E33EB7"/>
    <w:rsid w:val="00E34535"/>
    <w:rsid w:val="00E34B80"/>
    <w:rsid w:val="00E34F49"/>
    <w:rsid w:val="00E35947"/>
    <w:rsid w:val="00E35CB2"/>
    <w:rsid w:val="00E35D30"/>
    <w:rsid w:val="00E361B8"/>
    <w:rsid w:val="00E369DF"/>
    <w:rsid w:val="00E36A1B"/>
    <w:rsid w:val="00E36ED4"/>
    <w:rsid w:val="00E37425"/>
    <w:rsid w:val="00E37507"/>
    <w:rsid w:val="00E375D6"/>
    <w:rsid w:val="00E404B2"/>
    <w:rsid w:val="00E4061E"/>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0FC"/>
    <w:rsid w:val="00E4622E"/>
    <w:rsid w:val="00E465DB"/>
    <w:rsid w:val="00E4685F"/>
    <w:rsid w:val="00E46C26"/>
    <w:rsid w:val="00E47321"/>
    <w:rsid w:val="00E4791B"/>
    <w:rsid w:val="00E479EE"/>
    <w:rsid w:val="00E47ABB"/>
    <w:rsid w:val="00E47E31"/>
    <w:rsid w:val="00E50195"/>
    <w:rsid w:val="00E502DE"/>
    <w:rsid w:val="00E5031B"/>
    <w:rsid w:val="00E506BC"/>
    <w:rsid w:val="00E508D3"/>
    <w:rsid w:val="00E509B0"/>
    <w:rsid w:val="00E50AC6"/>
    <w:rsid w:val="00E50F41"/>
    <w:rsid w:val="00E51089"/>
    <w:rsid w:val="00E511BB"/>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4B7"/>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1AC"/>
    <w:rsid w:val="00E60451"/>
    <w:rsid w:val="00E6084B"/>
    <w:rsid w:val="00E613E9"/>
    <w:rsid w:val="00E616A4"/>
    <w:rsid w:val="00E6180B"/>
    <w:rsid w:val="00E61884"/>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58E"/>
    <w:rsid w:val="00E64734"/>
    <w:rsid w:val="00E64785"/>
    <w:rsid w:val="00E64A8F"/>
    <w:rsid w:val="00E64C99"/>
    <w:rsid w:val="00E64CD3"/>
    <w:rsid w:val="00E6535B"/>
    <w:rsid w:val="00E655E2"/>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1A65"/>
    <w:rsid w:val="00E71DBF"/>
    <w:rsid w:val="00E71E56"/>
    <w:rsid w:val="00E720DC"/>
    <w:rsid w:val="00E72127"/>
    <w:rsid w:val="00E7262C"/>
    <w:rsid w:val="00E72878"/>
    <w:rsid w:val="00E72C01"/>
    <w:rsid w:val="00E72F0C"/>
    <w:rsid w:val="00E73256"/>
    <w:rsid w:val="00E73323"/>
    <w:rsid w:val="00E733F6"/>
    <w:rsid w:val="00E739F3"/>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869"/>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B60"/>
    <w:rsid w:val="00E82D37"/>
    <w:rsid w:val="00E83184"/>
    <w:rsid w:val="00E83272"/>
    <w:rsid w:val="00E832BD"/>
    <w:rsid w:val="00E83444"/>
    <w:rsid w:val="00E83617"/>
    <w:rsid w:val="00E83779"/>
    <w:rsid w:val="00E83ECE"/>
    <w:rsid w:val="00E8519F"/>
    <w:rsid w:val="00E8566B"/>
    <w:rsid w:val="00E85ACC"/>
    <w:rsid w:val="00E85CC3"/>
    <w:rsid w:val="00E85E28"/>
    <w:rsid w:val="00E8644A"/>
    <w:rsid w:val="00E86BC5"/>
    <w:rsid w:val="00E87042"/>
    <w:rsid w:val="00E900D9"/>
    <w:rsid w:val="00E90279"/>
    <w:rsid w:val="00E9045A"/>
    <w:rsid w:val="00E90539"/>
    <w:rsid w:val="00E90635"/>
    <w:rsid w:val="00E909A1"/>
    <w:rsid w:val="00E909FB"/>
    <w:rsid w:val="00E90BFF"/>
    <w:rsid w:val="00E916C6"/>
    <w:rsid w:val="00E91914"/>
    <w:rsid w:val="00E91ADE"/>
    <w:rsid w:val="00E91E65"/>
    <w:rsid w:val="00E91ED3"/>
    <w:rsid w:val="00E91F04"/>
    <w:rsid w:val="00E91F35"/>
    <w:rsid w:val="00E9246F"/>
    <w:rsid w:val="00E924C1"/>
    <w:rsid w:val="00E92682"/>
    <w:rsid w:val="00E92AFB"/>
    <w:rsid w:val="00E930E1"/>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D40"/>
    <w:rsid w:val="00E96DE9"/>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76A"/>
    <w:rsid w:val="00EA2FA5"/>
    <w:rsid w:val="00EA3081"/>
    <w:rsid w:val="00EA3B5A"/>
    <w:rsid w:val="00EA3F16"/>
    <w:rsid w:val="00EA410E"/>
    <w:rsid w:val="00EA4277"/>
    <w:rsid w:val="00EA496C"/>
    <w:rsid w:val="00EA4FD1"/>
    <w:rsid w:val="00EA5194"/>
    <w:rsid w:val="00EA53C2"/>
    <w:rsid w:val="00EA5695"/>
    <w:rsid w:val="00EA5B0A"/>
    <w:rsid w:val="00EA60EE"/>
    <w:rsid w:val="00EA64C5"/>
    <w:rsid w:val="00EA65AD"/>
    <w:rsid w:val="00EA6733"/>
    <w:rsid w:val="00EA7786"/>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94C"/>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12E7"/>
    <w:rsid w:val="00EC147D"/>
    <w:rsid w:val="00EC1A0C"/>
    <w:rsid w:val="00EC25C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9AF"/>
    <w:rsid w:val="00EC6AAF"/>
    <w:rsid w:val="00EC71A7"/>
    <w:rsid w:val="00EC78A3"/>
    <w:rsid w:val="00EC7DB6"/>
    <w:rsid w:val="00ED015E"/>
    <w:rsid w:val="00ED0220"/>
    <w:rsid w:val="00ED04F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3C4E"/>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CD"/>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8B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EF7F97"/>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918"/>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EB6"/>
    <w:rsid w:val="00F10F9F"/>
    <w:rsid w:val="00F10FC1"/>
    <w:rsid w:val="00F112FD"/>
    <w:rsid w:val="00F1140E"/>
    <w:rsid w:val="00F11561"/>
    <w:rsid w:val="00F11F08"/>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3F8"/>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2F40"/>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0AE"/>
    <w:rsid w:val="00F27403"/>
    <w:rsid w:val="00F276A4"/>
    <w:rsid w:val="00F27A0C"/>
    <w:rsid w:val="00F27C34"/>
    <w:rsid w:val="00F27E46"/>
    <w:rsid w:val="00F301C2"/>
    <w:rsid w:val="00F302E1"/>
    <w:rsid w:val="00F304E5"/>
    <w:rsid w:val="00F30525"/>
    <w:rsid w:val="00F30584"/>
    <w:rsid w:val="00F30624"/>
    <w:rsid w:val="00F30C46"/>
    <w:rsid w:val="00F30CA1"/>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484"/>
    <w:rsid w:val="00F3354B"/>
    <w:rsid w:val="00F3390C"/>
    <w:rsid w:val="00F339BE"/>
    <w:rsid w:val="00F33BDA"/>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28B"/>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44B"/>
    <w:rsid w:val="00F42585"/>
    <w:rsid w:val="00F4296F"/>
    <w:rsid w:val="00F42E80"/>
    <w:rsid w:val="00F42F45"/>
    <w:rsid w:val="00F42FD3"/>
    <w:rsid w:val="00F433BD"/>
    <w:rsid w:val="00F43914"/>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172"/>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B97"/>
    <w:rsid w:val="00F54DBE"/>
    <w:rsid w:val="00F54F7A"/>
    <w:rsid w:val="00F55043"/>
    <w:rsid w:val="00F55D0B"/>
    <w:rsid w:val="00F561E4"/>
    <w:rsid w:val="00F561E8"/>
    <w:rsid w:val="00F563E9"/>
    <w:rsid w:val="00F56425"/>
    <w:rsid w:val="00F56731"/>
    <w:rsid w:val="00F56962"/>
    <w:rsid w:val="00F56B49"/>
    <w:rsid w:val="00F56C49"/>
    <w:rsid w:val="00F56DCF"/>
    <w:rsid w:val="00F56EFE"/>
    <w:rsid w:val="00F57034"/>
    <w:rsid w:val="00F57C2E"/>
    <w:rsid w:val="00F57E2D"/>
    <w:rsid w:val="00F57E3A"/>
    <w:rsid w:val="00F57ECE"/>
    <w:rsid w:val="00F6016B"/>
    <w:rsid w:val="00F60284"/>
    <w:rsid w:val="00F6067D"/>
    <w:rsid w:val="00F6073C"/>
    <w:rsid w:val="00F60BE9"/>
    <w:rsid w:val="00F61D18"/>
    <w:rsid w:val="00F61DEF"/>
    <w:rsid w:val="00F61FD8"/>
    <w:rsid w:val="00F62359"/>
    <w:rsid w:val="00F62826"/>
    <w:rsid w:val="00F62B9D"/>
    <w:rsid w:val="00F62DBF"/>
    <w:rsid w:val="00F634E6"/>
    <w:rsid w:val="00F63596"/>
    <w:rsid w:val="00F635F5"/>
    <w:rsid w:val="00F63739"/>
    <w:rsid w:val="00F63F10"/>
    <w:rsid w:val="00F641DD"/>
    <w:rsid w:val="00F641FC"/>
    <w:rsid w:val="00F644BB"/>
    <w:rsid w:val="00F647F7"/>
    <w:rsid w:val="00F65267"/>
    <w:rsid w:val="00F6556C"/>
    <w:rsid w:val="00F65672"/>
    <w:rsid w:val="00F6583C"/>
    <w:rsid w:val="00F6589A"/>
    <w:rsid w:val="00F66808"/>
    <w:rsid w:val="00F668FA"/>
    <w:rsid w:val="00F66DA7"/>
    <w:rsid w:val="00F67033"/>
    <w:rsid w:val="00F6754E"/>
    <w:rsid w:val="00F6783E"/>
    <w:rsid w:val="00F67A83"/>
    <w:rsid w:val="00F67B56"/>
    <w:rsid w:val="00F67CF0"/>
    <w:rsid w:val="00F70067"/>
    <w:rsid w:val="00F70DB5"/>
    <w:rsid w:val="00F70DBE"/>
    <w:rsid w:val="00F70E78"/>
    <w:rsid w:val="00F71124"/>
    <w:rsid w:val="00F7125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D1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0E0"/>
    <w:rsid w:val="00F826CD"/>
    <w:rsid w:val="00F827E6"/>
    <w:rsid w:val="00F82A6E"/>
    <w:rsid w:val="00F82AC1"/>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1B0"/>
    <w:rsid w:val="00F86357"/>
    <w:rsid w:val="00F8657A"/>
    <w:rsid w:val="00F865DC"/>
    <w:rsid w:val="00F8679A"/>
    <w:rsid w:val="00F86BD3"/>
    <w:rsid w:val="00F87117"/>
    <w:rsid w:val="00F872B9"/>
    <w:rsid w:val="00F8736C"/>
    <w:rsid w:val="00F8788E"/>
    <w:rsid w:val="00F878A7"/>
    <w:rsid w:val="00F87935"/>
    <w:rsid w:val="00F87A92"/>
    <w:rsid w:val="00F87DE3"/>
    <w:rsid w:val="00F9030E"/>
    <w:rsid w:val="00F904E8"/>
    <w:rsid w:val="00F90692"/>
    <w:rsid w:val="00F90698"/>
    <w:rsid w:val="00F90944"/>
    <w:rsid w:val="00F90ADB"/>
    <w:rsid w:val="00F90E17"/>
    <w:rsid w:val="00F90E78"/>
    <w:rsid w:val="00F90EFE"/>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62"/>
    <w:rsid w:val="00F94CE4"/>
    <w:rsid w:val="00F950B5"/>
    <w:rsid w:val="00F9513F"/>
    <w:rsid w:val="00F957DB"/>
    <w:rsid w:val="00F957F6"/>
    <w:rsid w:val="00F95963"/>
    <w:rsid w:val="00F95EB9"/>
    <w:rsid w:val="00F961F0"/>
    <w:rsid w:val="00F96225"/>
    <w:rsid w:val="00F96848"/>
    <w:rsid w:val="00F968F4"/>
    <w:rsid w:val="00F96A83"/>
    <w:rsid w:val="00F96C90"/>
    <w:rsid w:val="00F971DD"/>
    <w:rsid w:val="00F973C8"/>
    <w:rsid w:val="00F973CF"/>
    <w:rsid w:val="00F97784"/>
    <w:rsid w:val="00F97908"/>
    <w:rsid w:val="00F97B43"/>
    <w:rsid w:val="00F97C9E"/>
    <w:rsid w:val="00F97D78"/>
    <w:rsid w:val="00FA07F1"/>
    <w:rsid w:val="00FA07F8"/>
    <w:rsid w:val="00FA09C3"/>
    <w:rsid w:val="00FA105C"/>
    <w:rsid w:val="00FA12A3"/>
    <w:rsid w:val="00FA1331"/>
    <w:rsid w:val="00FA1475"/>
    <w:rsid w:val="00FA1488"/>
    <w:rsid w:val="00FA148A"/>
    <w:rsid w:val="00FA18A3"/>
    <w:rsid w:val="00FA19A9"/>
    <w:rsid w:val="00FA1B43"/>
    <w:rsid w:val="00FA1CC2"/>
    <w:rsid w:val="00FA1E07"/>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A7BB5"/>
    <w:rsid w:val="00FB0082"/>
    <w:rsid w:val="00FB0243"/>
    <w:rsid w:val="00FB09A3"/>
    <w:rsid w:val="00FB1320"/>
    <w:rsid w:val="00FB1527"/>
    <w:rsid w:val="00FB154A"/>
    <w:rsid w:val="00FB1AB7"/>
    <w:rsid w:val="00FB1C7B"/>
    <w:rsid w:val="00FB2537"/>
    <w:rsid w:val="00FB2749"/>
    <w:rsid w:val="00FB2759"/>
    <w:rsid w:val="00FB2892"/>
    <w:rsid w:val="00FB2F38"/>
    <w:rsid w:val="00FB33DC"/>
    <w:rsid w:val="00FB3937"/>
    <w:rsid w:val="00FB3C2A"/>
    <w:rsid w:val="00FB3D3F"/>
    <w:rsid w:val="00FB3E25"/>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767"/>
    <w:rsid w:val="00FB7FB7"/>
    <w:rsid w:val="00FC0150"/>
    <w:rsid w:val="00FC03AB"/>
    <w:rsid w:val="00FC08DF"/>
    <w:rsid w:val="00FC09EB"/>
    <w:rsid w:val="00FC0B28"/>
    <w:rsid w:val="00FC0DD8"/>
    <w:rsid w:val="00FC197B"/>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95"/>
    <w:rsid w:val="00FC73F0"/>
    <w:rsid w:val="00FC7401"/>
    <w:rsid w:val="00FC7413"/>
    <w:rsid w:val="00FC7528"/>
    <w:rsid w:val="00FC78F4"/>
    <w:rsid w:val="00FC7DFD"/>
    <w:rsid w:val="00FD016E"/>
    <w:rsid w:val="00FD0222"/>
    <w:rsid w:val="00FD0572"/>
    <w:rsid w:val="00FD064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014"/>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077"/>
    <w:rsid w:val="00FD6633"/>
    <w:rsid w:val="00FD6A0C"/>
    <w:rsid w:val="00FD6F47"/>
    <w:rsid w:val="00FD6FB9"/>
    <w:rsid w:val="00FD78B1"/>
    <w:rsid w:val="00FD7DF9"/>
    <w:rsid w:val="00FE02C2"/>
    <w:rsid w:val="00FE08BE"/>
    <w:rsid w:val="00FE0B51"/>
    <w:rsid w:val="00FE0B78"/>
    <w:rsid w:val="00FE0D8C"/>
    <w:rsid w:val="00FE0ED4"/>
    <w:rsid w:val="00FE182E"/>
    <w:rsid w:val="00FE196E"/>
    <w:rsid w:val="00FE1B9A"/>
    <w:rsid w:val="00FE1EAB"/>
    <w:rsid w:val="00FE2745"/>
    <w:rsid w:val="00FE2B52"/>
    <w:rsid w:val="00FE2C3F"/>
    <w:rsid w:val="00FE3066"/>
    <w:rsid w:val="00FE3465"/>
    <w:rsid w:val="00FE350D"/>
    <w:rsid w:val="00FE380E"/>
    <w:rsid w:val="00FE3D19"/>
    <w:rsid w:val="00FE3D79"/>
    <w:rsid w:val="00FE46A5"/>
    <w:rsid w:val="00FE4B06"/>
    <w:rsid w:val="00FE53B5"/>
    <w:rsid w:val="00FE5627"/>
    <w:rsid w:val="00FE581A"/>
    <w:rsid w:val="00FE62AF"/>
    <w:rsid w:val="00FE67CF"/>
    <w:rsid w:val="00FE6969"/>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DE5"/>
    <w:rsid w:val="00FF1F75"/>
    <w:rsid w:val="00FF2310"/>
    <w:rsid w:val="00FF23A1"/>
    <w:rsid w:val="00FF2570"/>
    <w:rsid w:val="00FF2986"/>
    <w:rsid w:val="00FF2CDE"/>
    <w:rsid w:val="00FF2E73"/>
    <w:rsid w:val="00FF30CD"/>
    <w:rsid w:val="00FF4304"/>
    <w:rsid w:val="00FF4AE2"/>
    <w:rsid w:val="00FF4C69"/>
    <w:rsid w:val="00FF50A8"/>
    <w:rsid w:val="00FF5246"/>
    <w:rsid w:val="00FF55A8"/>
    <w:rsid w:val="00FF571E"/>
    <w:rsid w:val="00FF5F3F"/>
    <w:rsid w:val="00FF60C3"/>
    <w:rsid w:val="00FF60DB"/>
    <w:rsid w:val="00FF64B9"/>
    <w:rsid w:val="00FF66D0"/>
    <w:rsid w:val="00FF687C"/>
    <w:rsid w:val="00FF6883"/>
    <w:rsid w:val="00FF6BD1"/>
    <w:rsid w:val="00FF6CC0"/>
    <w:rsid w:val="00FF6E5B"/>
    <w:rsid w:val="00FF7507"/>
    <w:rsid w:val="00FF7512"/>
    <w:rsid w:val="00FF7563"/>
    <w:rsid w:val="00FF75D2"/>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91A0321"/>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054C0D"/>
    <w:rsid w:val="37A80026"/>
    <w:rsid w:val="380A2275"/>
    <w:rsid w:val="3867180F"/>
    <w:rsid w:val="389C5138"/>
    <w:rsid w:val="392F110F"/>
    <w:rsid w:val="39550672"/>
    <w:rsid w:val="39BB5D21"/>
    <w:rsid w:val="3BE41E21"/>
    <w:rsid w:val="3C111BF4"/>
    <w:rsid w:val="3CC0776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77F2C5B"/>
    <w:rsid w:val="681E3F92"/>
    <w:rsid w:val="68DB35F5"/>
    <w:rsid w:val="6A22393F"/>
    <w:rsid w:val="6B09235D"/>
    <w:rsid w:val="6DAC52A9"/>
    <w:rsid w:val="6DCC5FC8"/>
    <w:rsid w:val="6DCF34A9"/>
    <w:rsid w:val="6E776DDD"/>
    <w:rsid w:val="6ED6370D"/>
    <w:rsid w:val="703D7ED7"/>
    <w:rsid w:val="70D87063"/>
    <w:rsid w:val="713C60C3"/>
    <w:rsid w:val="71446172"/>
    <w:rsid w:val="71E00456"/>
    <w:rsid w:val="725810CB"/>
    <w:rsid w:val="72673019"/>
    <w:rsid w:val="739A3454"/>
    <w:rsid w:val="748B3EEE"/>
    <w:rsid w:val="75881504"/>
    <w:rsid w:val="75AE6F11"/>
    <w:rsid w:val="76342546"/>
    <w:rsid w:val="771871D7"/>
    <w:rsid w:val="77A2156D"/>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38"/>
    <w:qFormat/>
    <w:uiPriority w:val="0"/>
    <w:pPr>
      <w:keepNext/>
      <w:numPr>
        <w:ilvl w:val="0"/>
        <w:numId w:val="1"/>
      </w:numPr>
      <w:spacing w:before="120"/>
      <w:outlineLvl w:val="0"/>
    </w:pPr>
    <w:rPr>
      <w:b/>
      <w:bCs/>
      <w:sz w:val="28"/>
      <w:szCs w:val="28"/>
    </w:rPr>
  </w:style>
  <w:style w:type="paragraph" w:styleId="3">
    <w:name w:val="heading 2"/>
    <w:basedOn w:val="2"/>
    <w:next w:val="1"/>
    <w:link w:val="139"/>
    <w:qFormat/>
    <w:uiPriority w:val="0"/>
    <w:pPr>
      <w:numPr>
        <w:ilvl w:val="1"/>
      </w:numPr>
      <w:outlineLvl w:val="1"/>
    </w:pPr>
    <w:rPr>
      <w:sz w:val="24"/>
    </w:rPr>
  </w:style>
  <w:style w:type="paragraph" w:styleId="4">
    <w:name w:val="heading 3"/>
    <w:basedOn w:val="3"/>
    <w:next w:val="1"/>
    <w:link w:val="131"/>
    <w:qFormat/>
    <w:uiPriority w:val="0"/>
    <w:pPr>
      <w:numPr>
        <w:ilvl w:val="2"/>
      </w:numPr>
      <w:outlineLvl w:val="2"/>
    </w:pPr>
  </w:style>
  <w:style w:type="paragraph" w:styleId="5">
    <w:name w:val="heading 4"/>
    <w:basedOn w:val="4"/>
    <w:next w:val="1"/>
    <w:link w:val="135"/>
    <w:qFormat/>
    <w:uiPriority w:val="0"/>
    <w:pPr>
      <w:numPr>
        <w:ilvl w:val="3"/>
      </w:numPr>
      <w:tabs>
        <w:tab w:val="clear" w:pos="432"/>
      </w:tabs>
      <w:outlineLvl w:val="3"/>
    </w:pPr>
  </w:style>
  <w:style w:type="paragraph" w:styleId="6">
    <w:name w:val="heading 5"/>
    <w:basedOn w:val="1"/>
    <w:next w:val="1"/>
    <w:link w:val="140"/>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2"/>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uiPriority w:val="1"/>
  </w:style>
  <w:style w:type="table" w:default="1" w:styleId="38">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0"/>
    <w:pPr>
      <w:ind w:left="100" w:leftChars="400" w:hanging="200" w:hangingChars="200"/>
      <w:contextualSpacing/>
    </w:pPr>
  </w:style>
  <w:style w:type="paragraph" w:styleId="12">
    <w:name w:val="annotation subject"/>
    <w:basedOn w:val="13"/>
    <w:next w:val="13"/>
    <w:link w:val="53"/>
    <w:qFormat/>
    <w:uiPriority w:val="99"/>
    <w:rPr>
      <w:b/>
      <w:bCs/>
    </w:rPr>
  </w:style>
  <w:style w:type="paragraph" w:styleId="13">
    <w:name w:val="annotation text"/>
    <w:basedOn w:val="1"/>
    <w:link w:val="52"/>
    <w:qFormat/>
    <w:uiPriority w:val="0"/>
    <w:pPr>
      <w:jc w:val="left"/>
    </w:pPr>
    <w:rPr>
      <w:kern w:val="2"/>
      <w:lang w:val="en-GB"/>
    </w:rPr>
  </w:style>
  <w:style w:type="paragraph" w:styleId="14">
    <w:name w:val="caption"/>
    <w:basedOn w:val="1"/>
    <w:next w:val="1"/>
    <w:link w:val="41"/>
    <w:qFormat/>
    <w:uiPriority w:val="0"/>
    <w:pPr>
      <w:jc w:val="center"/>
    </w:pPr>
    <w:rPr>
      <w:b/>
      <w:bCs/>
      <w:kern w:val="2"/>
      <w:sz w:val="20"/>
      <w:szCs w:val="20"/>
      <w:lang w:val="en-GB" w:eastAsia="zh-CN"/>
    </w:rPr>
  </w:style>
  <w:style w:type="paragraph" w:styleId="15">
    <w:name w:val="List Bullet"/>
    <w:basedOn w:val="16"/>
    <w:qFormat/>
    <w:uiPriority w:val="0"/>
    <w:pPr>
      <w:autoSpaceDE/>
      <w:autoSpaceDN/>
      <w:adjustRightInd/>
      <w:spacing w:after="180"/>
      <w:ind w:left="568" w:hanging="284"/>
      <w:jc w:val="left"/>
    </w:pPr>
    <w:rPr>
      <w:sz w:val="20"/>
      <w:szCs w:val="20"/>
      <w:lang w:val="en-GB"/>
    </w:rPr>
  </w:style>
  <w:style w:type="paragraph" w:styleId="16">
    <w:name w:val="List"/>
    <w:basedOn w:val="1"/>
    <w:qFormat/>
    <w:uiPriority w:val="0"/>
    <w:pPr>
      <w:ind w:left="360" w:hanging="360"/>
    </w:pPr>
  </w:style>
  <w:style w:type="paragraph" w:styleId="17">
    <w:name w:val="Document Map"/>
    <w:basedOn w:val="1"/>
    <w:link w:val="55"/>
    <w:qFormat/>
    <w:uiPriority w:val="0"/>
    <w:rPr>
      <w:rFonts w:ascii="宋体"/>
      <w:kern w:val="2"/>
      <w:sz w:val="18"/>
      <w:szCs w:val="18"/>
      <w:lang w:val="en-GB"/>
    </w:rPr>
  </w:style>
  <w:style w:type="paragraph" w:styleId="18">
    <w:name w:val="Body Text"/>
    <w:basedOn w:val="1"/>
    <w:link w:val="40"/>
    <w:qFormat/>
    <w:uiPriority w:val="0"/>
    <w:rPr>
      <w:sz w:val="20"/>
      <w:szCs w:val="20"/>
    </w:rPr>
  </w:style>
  <w:style w:type="paragraph" w:styleId="19">
    <w:name w:val="List 2"/>
    <w:basedOn w:val="1"/>
    <w:semiHidden/>
    <w:unhideWhenUsed/>
    <w:qFormat/>
    <w:uiPriority w:val="0"/>
    <w:pPr>
      <w:ind w:left="100" w:leftChars="200" w:hanging="200" w:hangingChars="200"/>
      <w:contextualSpacing/>
    </w:pPr>
  </w:style>
  <w:style w:type="paragraph" w:styleId="20">
    <w:name w:val="Balloon Text"/>
    <w:basedOn w:val="1"/>
    <w:link w:val="141"/>
    <w:semiHidden/>
    <w:qFormat/>
    <w:uiPriority w:val="99"/>
    <w:rPr>
      <w:rFonts w:ascii="Tahoma" w:hAnsi="Tahoma" w:cs="Tahoma"/>
      <w:sz w:val="16"/>
      <w:szCs w:val="16"/>
    </w:rPr>
  </w:style>
  <w:style w:type="paragraph" w:styleId="21">
    <w:name w:val="footer"/>
    <w:basedOn w:val="22"/>
    <w:link w:val="49"/>
    <w:qFormat/>
    <w:uiPriority w:val="99"/>
    <w:pPr>
      <w:tabs>
        <w:tab w:val="center" w:pos="4680"/>
        <w:tab w:val="right" w:pos="9360"/>
      </w:tabs>
    </w:pPr>
  </w:style>
  <w:style w:type="paragraph" w:styleId="22">
    <w:name w:val="header"/>
    <w:basedOn w:val="1"/>
    <w:link w:val="48"/>
    <w:qFormat/>
    <w:uiPriority w:val="0"/>
    <w:pPr>
      <w:tabs>
        <w:tab w:val="center" w:pos="4680"/>
        <w:tab w:val="right" w:pos="9360"/>
      </w:tabs>
    </w:pPr>
    <w:rPr>
      <w:kern w:val="2"/>
      <w:lang w:val="en-GB" w:eastAsia="zh-CN"/>
    </w:rPr>
  </w:style>
  <w:style w:type="paragraph" w:styleId="23">
    <w:name w:val="toc 1"/>
    <w:basedOn w:val="1"/>
    <w:next w:val="1"/>
    <w:unhideWhenUsed/>
    <w:qFormat/>
    <w:uiPriority w:val="0"/>
    <w:pPr>
      <w:spacing w:after="100"/>
    </w:pPr>
  </w:style>
  <w:style w:type="paragraph" w:styleId="24">
    <w:name w:val="footnote text"/>
    <w:basedOn w:val="1"/>
    <w:link w:val="126"/>
    <w:semiHidden/>
    <w:qFormat/>
    <w:uiPriority w:val="0"/>
    <w:rPr>
      <w:sz w:val="20"/>
      <w:szCs w:val="20"/>
    </w:rPr>
  </w:style>
  <w:style w:type="paragraph" w:styleId="25">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6">
    <w:name w:val="table of figures"/>
    <w:basedOn w:val="18"/>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7">
    <w:name w:val="Body Text 2"/>
    <w:basedOn w:val="1"/>
    <w:qFormat/>
    <w:uiPriority w:val="0"/>
    <w:pPr>
      <w:spacing w:after="0"/>
      <w:jc w:val="left"/>
    </w:pPr>
    <w:rPr>
      <w:szCs w:val="20"/>
    </w:rPr>
  </w:style>
  <w:style w:type="paragraph" w:styleId="28">
    <w:name w:val="Normal (Web)"/>
    <w:basedOn w:val="1"/>
    <w:qFormat/>
    <w:uiPriority w:val="99"/>
    <w:rPr>
      <w:sz w:val="24"/>
      <w:szCs w:val="24"/>
    </w:rPr>
  </w:style>
  <w:style w:type="paragraph" w:styleId="29">
    <w:name w:val="index 1"/>
    <w:basedOn w:val="1"/>
    <w:next w:val="1"/>
    <w:semiHidden/>
    <w:unhideWhenUsed/>
    <w:qFormat/>
    <w:uiPriority w:val="0"/>
  </w:style>
  <w:style w:type="paragraph" w:styleId="30">
    <w:name w:val="index 2"/>
    <w:basedOn w:val="29"/>
    <w:next w:val="1"/>
    <w:semiHidden/>
    <w:qFormat/>
    <w:uiPriority w:val="0"/>
    <w:pPr>
      <w:keepLines/>
      <w:autoSpaceDE/>
      <w:autoSpaceDN/>
      <w:adjustRightInd/>
      <w:snapToGrid/>
      <w:spacing w:after="0"/>
      <w:ind w:left="284"/>
    </w:pPr>
    <w:rPr>
      <w:rFonts w:eastAsia="Malgun Gothic"/>
      <w:sz w:val="20"/>
      <w:szCs w:val="20"/>
      <w:lang w:val="en-GB"/>
    </w:rPr>
  </w:style>
  <w:style w:type="paragraph" w:styleId="31">
    <w:name w:val="Title"/>
    <w:basedOn w:val="1"/>
    <w:next w:val="1"/>
    <w:link w:val="51"/>
    <w:qFormat/>
    <w:uiPriority w:val="0"/>
    <w:pPr>
      <w:spacing w:before="240" w:after="60"/>
      <w:jc w:val="center"/>
      <w:outlineLvl w:val="0"/>
    </w:pPr>
    <w:rPr>
      <w:rFonts w:ascii="Calibri Light" w:hAnsi="Calibri Light"/>
      <w:b/>
      <w:bCs/>
      <w:kern w:val="2"/>
      <w:sz w:val="32"/>
      <w:szCs w:val="32"/>
      <w:lang w:val="en-GB"/>
    </w:rPr>
  </w:style>
  <w:style w:type="character" w:styleId="33">
    <w:name w:val="page number"/>
    <w:basedOn w:val="32"/>
    <w:semiHidden/>
    <w:qFormat/>
    <w:uiPriority w:val="0"/>
  </w:style>
  <w:style w:type="character" w:styleId="34">
    <w:name w:val="Emphasis"/>
    <w:basedOn w:val="32"/>
    <w:qFormat/>
    <w:uiPriority w:val="20"/>
    <w:rPr>
      <w:i/>
      <w:iCs/>
    </w:rPr>
  </w:style>
  <w:style w:type="character" w:styleId="35">
    <w:name w:val="Hyperlink"/>
    <w:qFormat/>
    <w:uiPriority w:val="99"/>
    <w:rPr>
      <w:color w:val="0000FF"/>
      <w:kern w:val="2"/>
      <w:u w:val="single"/>
      <w:lang w:val="en-GB" w:eastAsia="zh-CN" w:bidi="ar-SA"/>
    </w:rPr>
  </w:style>
  <w:style w:type="character" w:styleId="36">
    <w:name w:val="annotation reference"/>
    <w:qFormat/>
    <w:uiPriority w:val="99"/>
    <w:rPr>
      <w:kern w:val="2"/>
      <w:sz w:val="21"/>
      <w:szCs w:val="21"/>
      <w:lang w:val="en-GB" w:eastAsia="zh-CN" w:bidi="ar-SA"/>
    </w:rPr>
  </w:style>
  <w:style w:type="character" w:styleId="37">
    <w:name w:val="footnote reference"/>
    <w:semiHidden/>
    <w:qFormat/>
    <w:uiPriority w:val="0"/>
    <w:rPr>
      <w:kern w:val="2"/>
      <w:vertAlign w:val="superscript"/>
      <w:lang w:val="en-GB" w:eastAsia="zh-CN" w:bidi="ar-SA"/>
    </w:rPr>
  </w:style>
  <w:style w:type="table" w:styleId="39">
    <w:name w:val="Table Grid"/>
    <w:basedOn w:val="38"/>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0">
    <w:name w:val="Body Text Char"/>
    <w:basedOn w:val="32"/>
    <w:link w:val="18"/>
    <w:qFormat/>
    <w:uiPriority w:val="0"/>
  </w:style>
  <w:style w:type="character" w:customStyle="1" w:styleId="41">
    <w:name w:val="Caption Char"/>
    <w:link w:val="14"/>
    <w:qFormat/>
    <w:uiPriority w:val="0"/>
    <w:rPr>
      <w:b/>
      <w:bCs/>
      <w:kern w:val="2"/>
      <w:lang w:val="en-GB" w:eastAsia="zh-CN" w:bidi="ar-SA"/>
    </w:rPr>
  </w:style>
  <w:style w:type="paragraph" w:customStyle="1" w:styleId="42">
    <w:name w:val="References"/>
    <w:basedOn w:val="1"/>
    <w:qFormat/>
    <w:uiPriority w:val="0"/>
    <w:pPr>
      <w:numPr>
        <w:ilvl w:val="0"/>
        <w:numId w:val="2"/>
      </w:numPr>
      <w:adjustRightInd/>
      <w:spacing w:after="60"/>
    </w:pPr>
    <w:rPr>
      <w:sz w:val="20"/>
      <w:szCs w:val="16"/>
    </w:rPr>
  </w:style>
  <w:style w:type="character" w:customStyle="1" w:styleId="43">
    <w:name w:val="访问过的超链接1"/>
    <w:qFormat/>
    <w:uiPriority w:val="0"/>
    <w:rPr>
      <w:color w:val="800080"/>
      <w:kern w:val="2"/>
      <w:u w:val="single"/>
      <w:lang w:val="en-GB" w:eastAsia="zh-CN" w:bidi="ar-SA"/>
    </w:rPr>
  </w:style>
  <w:style w:type="paragraph" w:customStyle="1" w:styleId="44">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5">
    <w:name w:val="Figure"/>
    <w:basedOn w:val="1"/>
    <w:next w:val="14"/>
    <w:qFormat/>
    <w:uiPriority w:val="0"/>
    <w:pPr>
      <w:keepNext/>
      <w:jc w:val="center"/>
    </w:pPr>
  </w:style>
  <w:style w:type="paragraph" w:customStyle="1" w:styleId="46">
    <w:name w:val="Eqn"/>
    <w:basedOn w:val="1"/>
    <w:qFormat/>
    <w:uiPriority w:val="0"/>
    <w:pPr>
      <w:tabs>
        <w:tab w:val="center" w:pos="4608"/>
        <w:tab w:val="right" w:pos="9216"/>
      </w:tabs>
    </w:pPr>
    <w:rPr>
      <w:lang w:eastAsia="ja-JP"/>
    </w:rPr>
  </w:style>
  <w:style w:type="paragraph" w:customStyle="1" w:styleId="47">
    <w:name w:val="tablecell"/>
    <w:basedOn w:val="1"/>
    <w:qFormat/>
    <w:uiPriority w:val="0"/>
    <w:pPr>
      <w:spacing w:before="20" w:after="20"/>
      <w:jc w:val="left"/>
    </w:pPr>
  </w:style>
  <w:style w:type="character" w:customStyle="1" w:styleId="48">
    <w:name w:val="Header Char"/>
    <w:link w:val="22"/>
    <w:qFormat/>
    <w:uiPriority w:val="0"/>
    <w:rPr>
      <w:kern w:val="2"/>
      <w:sz w:val="22"/>
      <w:szCs w:val="22"/>
      <w:lang w:val="en-GB" w:eastAsia="zh-CN" w:bidi="ar-SA"/>
    </w:rPr>
  </w:style>
  <w:style w:type="character" w:customStyle="1" w:styleId="49">
    <w:name w:val="Footer Char"/>
    <w:link w:val="21"/>
    <w:qFormat/>
    <w:uiPriority w:val="99"/>
    <w:rPr>
      <w:kern w:val="2"/>
      <w:sz w:val="22"/>
      <w:szCs w:val="22"/>
      <w:lang w:val="en-GB" w:eastAsia="zh-CN" w:bidi="ar-SA"/>
    </w:rPr>
  </w:style>
  <w:style w:type="paragraph" w:customStyle="1" w:styleId="50">
    <w:name w:val="tablecol"/>
    <w:basedOn w:val="47"/>
    <w:qFormat/>
    <w:uiPriority w:val="0"/>
    <w:pPr>
      <w:jc w:val="center"/>
    </w:pPr>
    <w:rPr>
      <w:b/>
    </w:rPr>
  </w:style>
  <w:style w:type="character" w:customStyle="1" w:styleId="51">
    <w:name w:val="Title Char"/>
    <w:link w:val="31"/>
    <w:qFormat/>
    <w:uiPriority w:val="0"/>
    <w:rPr>
      <w:rFonts w:ascii="Calibri Light" w:hAnsi="Calibri Light" w:cs="Times New Roman"/>
      <w:b/>
      <w:bCs/>
      <w:kern w:val="2"/>
      <w:sz w:val="32"/>
      <w:szCs w:val="32"/>
      <w:lang w:val="en-GB" w:eastAsia="en-US" w:bidi="ar-SA"/>
    </w:rPr>
  </w:style>
  <w:style w:type="character" w:customStyle="1" w:styleId="52">
    <w:name w:val="Comment Text Char"/>
    <w:link w:val="13"/>
    <w:qFormat/>
    <w:uiPriority w:val="0"/>
    <w:rPr>
      <w:kern w:val="2"/>
      <w:sz w:val="22"/>
      <w:szCs w:val="22"/>
      <w:lang w:val="en-GB" w:eastAsia="en-US" w:bidi="ar-SA"/>
    </w:rPr>
  </w:style>
  <w:style w:type="character" w:customStyle="1" w:styleId="53">
    <w:name w:val="Comment Subject Char"/>
    <w:link w:val="12"/>
    <w:qFormat/>
    <w:uiPriority w:val="99"/>
    <w:rPr>
      <w:b/>
      <w:bCs/>
      <w:kern w:val="2"/>
      <w:sz w:val="22"/>
      <w:szCs w:val="22"/>
      <w:lang w:val="en-GB" w:eastAsia="en-US" w:bidi="ar-SA"/>
    </w:rPr>
  </w:style>
  <w:style w:type="paragraph" w:customStyle="1" w:styleId="54">
    <w:name w:val="Revision1"/>
    <w:hidden/>
    <w:semiHidden/>
    <w:qFormat/>
    <w:uiPriority w:val="99"/>
    <w:rPr>
      <w:rFonts w:ascii="Times New Roman" w:hAnsi="Times New Roman" w:cs="Times New Roman" w:eastAsiaTheme="minorEastAsia"/>
      <w:sz w:val="22"/>
      <w:szCs w:val="22"/>
      <w:lang w:val="en-US" w:eastAsia="en-US" w:bidi="ar-SA"/>
    </w:rPr>
  </w:style>
  <w:style w:type="character" w:customStyle="1" w:styleId="55">
    <w:name w:val="Document Map Char"/>
    <w:link w:val="17"/>
    <w:qFormat/>
    <w:uiPriority w:val="0"/>
    <w:rPr>
      <w:rFonts w:ascii="宋体"/>
      <w:kern w:val="2"/>
      <w:sz w:val="18"/>
      <w:szCs w:val="18"/>
      <w:lang w:val="en-GB" w:eastAsia="en-US" w:bidi="ar-SA"/>
    </w:rPr>
  </w:style>
  <w:style w:type="paragraph" w:styleId="56">
    <w:name w:val="List Paragraph"/>
    <w:basedOn w:val="1"/>
    <w:link w:val="59"/>
    <w:qFormat/>
    <w:uiPriority w:val="34"/>
    <w:pPr>
      <w:ind w:left="720"/>
      <w:contextualSpacing/>
    </w:pPr>
  </w:style>
  <w:style w:type="character" w:styleId="57">
    <w:name w:val="Placeholder Text"/>
    <w:basedOn w:val="32"/>
    <w:semiHidden/>
    <w:qFormat/>
    <w:uiPriority w:val="99"/>
    <w:rPr>
      <w:color w:val="808080"/>
    </w:rPr>
  </w:style>
  <w:style w:type="paragraph" w:customStyle="1" w:styleId="58">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59">
    <w:name w:val="List Paragraph Char"/>
    <w:link w:val="56"/>
    <w:qFormat/>
    <w:uiPriority w:val="34"/>
    <w:rPr>
      <w:sz w:val="22"/>
      <w:szCs w:val="22"/>
      <w:lang w:eastAsia="en-US"/>
    </w:rPr>
  </w:style>
  <w:style w:type="paragraph" w:customStyle="1" w:styleId="60">
    <w:name w:val="TAH"/>
    <w:basedOn w:val="61"/>
    <w:link w:val="64"/>
    <w:qFormat/>
    <w:uiPriority w:val="0"/>
    <w:rPr>
      <w:b/>
    </w:rPr>
  </w:style>
  <w:style w:type="paragraph" w:customStyle="1" w:styleId="61">
    <w:name w:val="TAC"/>
    <w:basedOn w:val="62"/>
    <w:link w:val="63"/>
    <w:qFormat/>
    <w:uiPriority w:val="0"/>
    <w:pPr>
      <w:keepNext/>
      <w:keepLines/>
      <w:autoSpaceDE/>
      <w:autoSpaceDN/>
      <w:adjustRightInd/>
      <w:snapToGrid/>
      <w:spacing w:after="0"/>
      <w:jc w:val="center"/>
    </w:pPr>
    <w:rPr>
      <w:rFonts w:ascii="Arial" w:hAnsi="Arial"/>
      <w:sz w:val="18"/>
      <w:szCs w:val="20"/>
      <w:lang w:val="en-GB"/>
    </w:rPr>
  </w:style>
  <w:style w:type="paragraph" w:customStyle="1" w:styleId="62">
    <w:name w:val="TAL"/>
    <w:basedOn w:val="1"/>
    <w:link w:val="100"/>
    <w:qFormat/>
    <w:uiPriority w:val="0"/>
    <w:pPr>
      <w:keepNext/>
      <w:keepLines/>
      <w:autoSpaceDE/>
      <w:autoSpaceDN/>
      <w:adjustRightInd/>
      <w:snapToGrid/>
      <w:spacing w:after="0"/>
      <w:jc w:val="left"/>
    </w:pPr>
    <w:rPr>
      <w:rFonts w:ascii="Arial" w:hAnsi="Arial"/>
      <w:sz w:val="18"/>
      <w:szCs w:val="20"/>
      <w:lang w:val="en-GB"/>
    </w:rPr>
  </w:style>
  <w:style w:type="character" w:customStyle="1" w:styleId="63">
    <w:name w:val="TAC Char"/>
    <w:link w:val="61"/>
    <w:qFormat/>
    <w:locked/>
    <w:uiPriority w:val="0"/>
    <w:rPr>
      <w:rFonts w:ascii="Arial" w:hAnsi="Arial"/>
      <w:sz w:val="18"/>
      <w:lang w:val="en-GB" w:eastAsia="en-US"/>
    </w:rPr>
  </w:style>
  <w:style w:type="character" w:customStyle="1" w:styleId="64">
    <w:name w:val="TAH Car"/>
    <w:link w:val="60"/>
    <w:qFormat/>
    <w:uiPriority w:val="0"/>
    <w:rPr>
      <w:rFonts w:ascii="Arial" w:hAnsi="Arial"/>
      <w:b/>
      <w:sz w:val="18"/>
      <w:lang w:val="en-GB" w:eastAsia="en-US"/>
    </w:rPr>
  </w:style>
  <w:style w:type="paragraph" w:customStyle="1" w:styleId="65">
    <w:name w:val="RAN1 bullet1"/>
    <w:basedOn w:val="1"/>
    <w:link w:val="66"/>
    <w:qFormat/>
    <w:uiPriority w:val="0"/>
    <w:pPr>
      <w:autoSpaceDE/>
      <w:autoSpaceDN/>
      <w:adjustRightInd/>
      <w:snapToGrid/>
      <w:spacing w:after="0"/>
      <w:jc w:val="left"/>
    </w:pPr>
    <w:rPr>
      <w:rFonts w:ascii="Times" w:hAnsi="Times" w:eastAsia="Batang"/>
      <w:sz w:val="20"/>
      <w:szCs w:val="24"/>
      <w:lang w:val="en-GB"/>
    </w:rPr>
  </w:style>
  <w:style w:type="character" w:customStyle="1" w:styleId="66">
    <w:name w:val="RAN1 bullet1 Char"/>
    <w:link w:val="65"/>
    <w:qFormat/>
    <w:uiPriority w:val="0"/>
    <w:rPr>
      <w:rFonts w:ascii="Times" w:hAnsi="Times" w:eastAsia="Batang"/>
      <w:szCs w:val="24"/>
      <w:lang w:val="en-GB"/>
    </w:rPr>
  </w:style>
  <w:style w:type="paragraph" w:customStyle="1" w:styleId="67">
    <w:name w:val="main text"/>
    <w:basedOn w:val="1"/>
    <w:link w:val="68"/>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68">
    <w:name w:val="main text Char"/>
    <w:link w:val="67"/>
    <w:qFormat/>
    <w:uiPriority w:val="0"/>
    <w:rPr>
      <w:rFonts w:eastAsia="Malgun Gothic" w:cs="Batang"/>
      <w:kern w:val="2"/>
      <w:lang w:val="en-GB" w:eastAsia="ko-KR"/>
    </w:rPr>
  </w:style>
  <w:style w:type="paragraph" w:customStyle="1" w:styleId="69">
    <w:name w:val="EQ"/>
    <w:basedOn w:val="1"/>
    <w:next w:val="1"/>
    <w:qFormat/>
    <w:uiPriority w:val="0"/>
    <w:pPr>
      <w:keepLines/>
      <w:tabs>
        <w:tab w:val="center" w:pos="4536"/>
        <w:tab w:val="right" w:pos="9072"/>
      </w:tabs>
      <w:autoSpaceDE/>
      <w:autoSpaceDN/>
      <w:adjustRightInd/>
      <w:snapToGrid/>
      <w:spacing w:after="180"/>
      <w:jc w:val="left"/>
    </w:pPr>
    <w:rPr>
      <w:sz w:val="20"/>
      <w:szCs w:val="20"/>
      <w:lang w:val="en-GB"/>
    </w:rPr>
  </w:style>
  <w:style w:type="paragraph" w:customStyle="1" w:styleId="70">
    <w:name w:val="B1"/>
    <w:basedOn w:val="1"/>
    <w:link w:val="71"/>
    <w:qFormat/>
    <w:uiPriority w:val="0"/>
    <w:pPr>
      <w:autoSpaceDE/>
      <w:autoSpaceDN/>
      <w:adjustRightInd/>
      <w:snapToGrid/>
      <w:spacing w:after="180"/>
      <w:ind w:left="568" w:hanging="284"/>
      <w:jc w:val="left"/>
    </w:pPr>
    <w:rPr>
      <w:sz w:val="20"/>
      <w:szCs w:val="20"/>
      <w:lang w:val="en-GB"/>
    </w:rPr>
  </w:style>
  <w:style w:type="character" w:customStyle="1" w:styleId="71">
    <w:name w:val="B1 (文字)"/>
    <w:link w:val="70"/>
    <w:qFormat/>
    <w:locked/>
    <w:uiPriority w:val="0"/>
    <w:rPr>
      <w:rFonts w:eastAsiaTheme="minorEastAsia"/>
      <w:lang w:val="en-GB" w:eastAsia="en-US"/>
    </w:rPr>
  </w:style>
  <w:style w:type="paragraph" w:customStyle="1" w:styleId="72">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3">
    <w:name w:val="B1 Zchn"/>
    <w:qFormat/>
    <w:uiPriority w:val="0"/>
    <w:rPr>
      <w:lang w:eastAsia="en-US"/>
    </w:rPr>
  </w:style>
  <w:style w:type="paragraph" w:customStyle="1" w:styleId="74">
    <w:name w:val="Comments"/>
    <w:basedOn w:val="1"/>
    <w:link w:val="75"/>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5">
    <w:name w:val="Comments Char"/>
    <w:link w:val="74"/>
    <w:qFormat/>
    <w:uiPriority w:val="0"/>
    <w:rPr>
      <w:rFonts w:ascii="Arial" w:hAnsi="Arial" w:eastAsia="MS Mincho"/>
      <w:i/>
      <w:sz w:val="18"/>
      <w:szCs w:val="24"/>
      <w:lang w:val="en-GB" w:eastAsia="en-GB"/>
    </w:rPr>
  </w:style>
  <w:style w:type="paragraph" w:customStyle="1" w:styleId="76">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77">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78">
    <w:name w:val="Proposal"/>
    <w:basedOn w:val="1"/>
    <w:link w:val="107"/>
    <w:qFormat/>
    <w:uiPriority w:val="0"/>
    <w:pPr>
      <w:numPr>
        <w:ilvl w:val="0"/>
        <w:numId w:val="4"/>
      </w:numPr>
      <w:tabs>
        <w:tab w:val="left" w:pos="1701"/>
        <w:tab w:val="clear" w:pos="1304"/>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79">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0">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1">
    <w:name w:val="bullet level 1"/>
    <w:basedOn w:val="79"/>
    <w:qFormat/>
    <w:uiPriority w:val="0"/>
    <w:pPr>
      <w:numPr>
        <w:ilvl w:val="0"/>
      </w:numPr>
      <w:ind w:left="720" w:hanging="360"/>
    </w:pPr>
  </w:style>
  <w:style w:type="paragraph" w:customStyle="1" w:styleId="82">
    <w:name w:val="bullet level 2"/>
    <w:basedOn w:val="79"/>
    <w:qFormat/>
    <w:uiPriority w:val="0"/>
    <w:pPr>
      <w:numPr>
        <w:ilvl w:val="1"/>
      </w:numPr>
    </w:pPr>
    <w:rPr>
      <w:lang w:val="en-AU"/>
    </w:rPr>
  </w:style>
  <w:style w:type="paragraph" w:customStyle="1" w:styleId="83">
    <w:name w:val="bullet level 4"/>
    <w:basedOn w:val="79"/>
    <w:qFormat/>
    <w:uiPriority w:val="0"/>
    <w:pPr>
      <w:numPr>
        <w:ilvl w:val="3"/>
      </w:numPr>
      <w:ind w:left="2880" w:hanging="360"/>
    </w:pPr>
    <w:rPr>
      <w:lang w:val="en-AU"/>
    </w:rPr>
  </w:style>
  <w:style w:type="paragraph" w:customStyle="1" w:styleId="84">
    <w:name w:val="LGTdoc_본문"/>
    <w:basedOn w:val="1"/>
    <w:link w:val="161"/>
    <w:qFormat/>
    <w:uiPriority w:val="0"/>
    <w:pPr>
      <w:widowControl w:val="0"/>
      <w:spacing w:after="0" w:line="264" w:lineRule="auto"/>
    </w:pPr>
    <w:rPr>
      <w:rFonts w:eastAsia="Batang"/>
      <w:kern w:val="2"/>
      <w:szCs w:val="24"/>
      <w:lang w:val="en-GB" w:eastAsia="ko-KR"/>
    </w:rPr>
  </w:style>
  <w:style w:type="paragraph" w:customStyle="1" w:styleId="85">
    <w:name w:val="Text"/>
    <w:qFormat/>
    <w:uiPriority w:val="0"/>
    <w:pPr>
      <w:keepLines/>
      <w:tabs>
        <w:tab w:val="left" w:pos="2552"/>
        <w:tab w:val="left" w:pos="3856"/>
        <w:tab w:val="left" w:pos="5216"/>
        <w:tab w:val="left" w:pos="6464"/>
        <w:tab w:val="left" w:pos="7768"/>
        <w:tab w:val="left" w:pos="9072"/>
        <w:tab w:val="left" w:pos="9639"/>
      </w:tabs>
    </w:pPr>
    <w:rPr>
      <w:rFonts w:ascii="Arial" w:hAnsi="Arial" w:eastAsia="Times New Roman" w:cs="Times New Roman"/>
      <w:lang w:val="en-US" w:eastAsia="en-US" w:bidi="ar-SA"/>
    </w:rPr>
  </w:style>
  <w:style w:type="paragraph" w:customStyle="1" w:styleId="86">
    <w:name w:val="3GPP Normal Text"/>
    <w:basedOn w:val="18"/>
    <w:link w:val="87"/>
    <w:qFormat/>
    <w:uiPriority w:val="0"/>
    <w:pPr>
      <w:autoSpaceDE/>
      <w:autoSpaceDN/>
      <w:adjustRightInd/>
      <w:snapToGrid/>
      <w:spacing w:after="60"/>
    </w:pPr>
    <w:rPr>
      <w:rFonts w:eastAsia="MS Mincho"/>
      <w:szCs w:val="24"/>
    </w:rPr>
  </w:style>
  <w:style w:type="character" w:customStyle="1" w:styleId="87">
    <w:name w:val="3GPP Normal Text Char"/>
    <w:link w:val="86"/>
    <w:qFormat/>
    <w:uiPriority w:val="0"/>
    <w:rPr>
      <w:rFonts w:eastAsia="MS Mincho"/>
      <w:szCs w:val="24"/>
      <w:lang w:eastAsia="en-US"/>
    </w:rPr>
  </w:style>
  <w:style w:type="paragraph" w:customStyle="1" w:styleId="88">
    <w:name w:val="Observation"/>
    <w:basedOn w:val="78"/>
    <w:qFormat/>
    <w:uiPriority w:val="0"/>
    <w:pPr>
      <w:numPr>
        <w:ilvl w:val="0"/>
        <w:numId w:val="6"/>
      </w:numPr>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sz w:val="20"/>
      <w:szCs w:val="20"/>
      <w:lang w:val="en-GB"/>
    </w:rPr>
  </w:style>
  <w:style w:type="paragraph" w:customStyle="1" w:styleId="89">
    <w:name w:val="N1"/>
    <w:basedOn w:val="1"/>
    <w:link w:val="90"/>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0">
    <w:name w:val="N1 Char"/>
    <w:link w:val="89"/>
    <w:qFormat/>
    <w:uiPriority w:val="0"/>
    <w:rPr>
      <w:rFonts w:ascii="Calibri" w:hAnsi="Calibri" w:eastAsia="MS Mincho" w:cs="Calibri"/>
      <w:sz w:val="22"/>
      <w:szCs w:val="22"/>
      <w:lang w:eastAsia="ko-KR" w:bidi="hi-IN"/>
    </w:rPr>
  </w:style>
  <w:style w:type="paragraph" w:customStyle="1" w:styleId="91">
    <w:name w:val="N4"/>
    <w:basedOn w:val="1"/>
    <w:link w:val="92"/>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2">
    <w:name w:val="N4 Char"/>
    <w:link w:val="91"/>
    <w:qFormat/>
    <w:uiPriority w:val="0"/>
    <w:rPr>
      <w:rFonts w:ascii="Calibri" w:hAnsi="Calibri" w:eastAsia="MS Mincho" w:cs="Calibri"/>
      <w:sz w:val="22"/>
      <w:szCs w:val="22"/>
      <w:lang w:eastAsia="ko-KR" w:bidi="hi-IN"/>
    </w:rPr>
  </w:style>
  <w:style w:type="table" w:customStyle="1" w:styleId="93">
    <w:name w:val="网格型1"/>
    <w:basedOn w:val="38"/>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4">
    <w:name w:val="스타일1"/>
    <w:basedOn w:val="1"/>
    <w:link w:val="95"/>
    <w:qFormat/>
    <w:uiPriority w:val="0"/>
    <w:pPr>
      <w:autoSpaceDE/>
      <w:autoSpaceDN/>
      <w:adjustRightInd/>
      <w:snapToGrid/>
      <w:spacing w:before="60" w:after="180" w:line="360" w:lineRule="atLeast"/>
    </w:pPr>
    <w:rPr>
      <w:szCs w:val="20"/>
      <w:lang w:val="en-GB" w:eastAsia="ko-KR"/>
    </w:rPr>
  </w:style>
  <w:style w:type="character" w:customStyle="1" w:styleId="95">
    <w:name w:val="스타일1 Char"/>
    <w:basedOn w:val="32"/>
    <w:link w:val="94"/>
    <w:qFormat/>
    <w:uiPriority w:val="0"/>
    <w:rPr>
      <w:rFonts w:eastAsiaTheme="minorEastAsia"/>
      <w:sz w:val="22"/>
      <w:lang w:val="en-GB" w:eastAsia="ko-KR"/>
    </w:rPr>
  </w:style>
  <w:style w:type="character" w:customStyle="1" w:styleId="96">
    <w:name w:val="short_text"/>
    <w:basedOn w:val="32"/>
    <w:qFormat/>
    <w:uiPriority w:val="0"/>
  </w:style>
  <w:style w:type="paragraph" w:customStyle="1" w:styleId="97">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98">
    <w:name w:val="TH"/>
    <w:basedOn w:val="1"/>
    <w:link w:val="99"/>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99">
    <w:name w:val="TH Char"/>
    <w:link w:val="98"/>
    <w:qFormat/>
    <w:uiPriority w:val="0"/>
    <w:rPr>
      <w:rFonts w:ascii="Arial" w:hAnsi="Arial"/>
      <w:b/>
      <w:lang w:val="en-GB" w:eastAsia="en-US"/>
    </w:rPr>
  </w:style>
  <w:style w:type="character" w:customStyle="1" w:styleId="100">
    <w:name w:val="TAL Char"/>
    <w:link w:val="62"/>
    <w:qFormat/>
    <w:uiPriority w:val="0"/>
    <w:rPr>
      <w:rFonts w:ascii="Arial" w:hAnsi="Arial"/>
      <w:sz w:val="18"/>
      <w:lang w:val="en-GB" w:eastAsia="en-US"/>
    </w:rPr>
  </w:style>
  <w:style w:type="paragraph" w:customStyle="1" w:styleId="101">
    <w:name w:val="TAN"/>
    <w:basedOn w:val="62"/>
    <w:qFormat/>
    <w:uiPriority w:val="0"/>
    <w:pPr>
      <w:ind w:left="851" w:hanging="851"/>
    </w:pPr>
  </w:style>
  <w:style w:type="character" w:customStyle="1" w:styleId="102">
    <w:name w:val="B1 Char1"/>
    <w:qFormat/>
    <w:uiPriority w:val="0"/>
    <w:rPr>
      <w:rFonts w:eastAsia="Times New Roman"/>
      <w:lang w:val="en-GB" w:eastAsia="en-GB"/>
    </w:rPr>
  </w:style>
  <w:style w:type="paragraph" w:customStyle="1" w:styleId="103">
    <w:name w:val="B2"/>
    <w:basedOn w:val="19"/>
    <w:link w:val="104"/>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4">
    <w:name w:val="B2 Char"/>
    <w:link w:val="103"/>
    <w:qFormat/>
    <w:locked/>
    <w:uiPriority w:val="0"/>
    <w:rPr>
      <w:rFonts w:eastAsia="Times New Roman"/>
      <w:lang w:val="en-GB" w:eastAsia="en-GB"/>
    </w:rPr>
  </w:style>
  <w:style w:type="paragraph" w:customStyle="1" w:styleId="105">
    <w:name w:val="B3"/>
    <w:basedOn w:val="11"/>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6">
    <w:name w:val="题注 Char1"/>
    <w:qFormat/>
    <w:uiPriority w:val="0"/>
    <w:rPr>
      <w:rFonts w:ascii="Times New Roman" w:hAnsi="Times New Roman" w:eastAsia="Times New Roman" w:cs="Times New Roman"/>
      <w:kern w:val="0"/>
      <w:sz w:val="20"/>
      <w:szCs w:val="20"/>
      <w:lang w:val="en-GB" w:eastAsia="en-US"/>
    </w:rPr>
  </w:style>
  <w:style w:type="character" w:customStyle="1" w:styleId="107">
    <w:name w:val="Proposal Char"/>
    <w:basedOn w:val="32"/>
    <w:link w:val="78"/>
    <w:qFormat/>
    <w:uiPriority w:val="0"/>
    <w:rPr>
      <w:rFonts w:asciiTheme="minorHAnsi" w:hAnsiTheme="minorHAnsi" w:eastAsiaTheme="minorEastAsia" w:cstheme="minorBidi"/>
      <w:b/>
      <w:bCs/>
      <w:sz w:val="22"/>
      <w:szCs w:val="22"/>
    </w:rPr>
  </w:style>
  <w:style w:type="paragraph" w:customStyle="1" w:styleId="108">
    <w:name w:val="NO"/>
    <w:basedOn w:val="1"/>
    <w:link w:val="109"/>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09">
    <w:name w:val="NO Char"/>
    <w:link w:val="108"/>
    <w:qFormat/>
    <w:uiPriority w:val="0"/>
    <w:rPr>
      <w:rFonts w:eastAsia="宋体"/>
      <w:lang w:val="en-GB" w:eastAsia="en-US"/>
    </w:rPr>
  </w:style>
  <w:style w:type="character" w:customStyle="1" w:styleId="110">
    <w:name w:val="Caption Char3"/>
    <w:qFormat/>
    <w:uiPriority w:val="35"/>
    <w:rPr>
      <w:rFonts w:ascii="Times New Roman" w:hAnsi="Times New Roman" w:eastAsia="Times New Roman" w:cs="Times New Roman"/>
      <w:kern w:val="0"/>
      <w:sz w:val="20"/>
      <w:szCs w:val="20"/>
      <w:lang w:val="en-GB" w:eastAsia="en-US"/>
    </w:rPr>
  </w:style>
  <w:style w:type="table" w:customStyle="1" w:styleId="111">
    <w:name w:val="Table Grid1"/>
    <w:basedOn w:val="38"/>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2">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3">
    <w:name w:val="Revision2"/>
    <w:hidden/>
    <w:semiHidden/>
    <w:qFormat/>
    <w:uiPriority w:val="99"/>
    <w:rPr>
      <w:rFonts w:ascii="Times New Roman" w:hAnsi="Times New Roman" w:cs="Times New Roman" w:eastAsiaTheme="minorEastAsia"/>
      <w:sz w:val="22"/>
      <w:szCs w:val="22"/>
      <w:lang w:val="en-US" w:eastAsia="en-US" w:bidi="ar-SA"/>
    </w:rPr>
  </w:style>
  <w:style w:type="character" w:customStyle="1" w:styleId="114">
    <w:name w:val="apple-converted-space"/>
    <w:basedOn w:val="32"/>
    <w:qFormat/>
    <w:uiPriority w:val="0"/>
  </w:style>
  <w:style w:type="paragraph" w:customStyle="1" w:styleId="115">
    <w:name w:val="Default"/>
    <w:unhideWhenUsed/>
    <w:qFormat/>
    <w:uiPriority w:val="99"/>
    <w:pPr>
      <w:widowControl w:val="0"/>
      <w:autoSpaceDE w:val="0"/>
      <w:autoSpaceDN w:val="0"/>
      <w:adjustRightInd w:val="0"/>
    </w:pPr>
    <w:rPr>
      <w:rFonts w:hint="eastAsia" w:ascii="Arial" w:hAnsi="Arial" w:eastAsia="宋体" w:cs="Times New Roman"/>
      <w:color w:val="000000"/>
      <w:sz w:val="24"/>
      <w:lang w:val="en-US" w:eastAsia="zh-CN" w:bidi="ar-SA"/>
    </w:rPr>
  </w:style>
  <w:style w:type="table" w:customStyle="1" w:styleId="116">
    <w:name w:val="Grid Table 1 Light - Accent 51"/>
    <w:basedOn w:val="38"/>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Layout w:type="fixed"/>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17">
    <w:name w:val="List Paragraph1"/>
    <w:basedOn w:val="1"/>
    <w:qFormat/>
    <w:uiPriority w:val="0"/>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18">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19">
    <w:name w:val="List Paragraph8"/>
    <w:basedOn w:val="1"/>
    <w:unhideWhenUsed/>
    <w:qFormat/>
    <w:uiPriority w:val="34"/>
    <w:pPr>
      <w:ind w:left="720"/>
      <w:contextualSpacing/>
    </w:pPr>
  </w:style>
  <w:style w:type="character" w:customStyle="1" w:styleId="120">
    <w:name w:val="normaltextrun"/>
    <w:basedOn w:val="32"/>
    <w:qFormat/>
    <w:uiPriority w:val="0"/>
  </w:style>
  <w:style w:type="paragraph" w:customStyle="1" w:styleId="121">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2">
    <w:name w:val="正文1"/>
    <w:qFormat/>
    <w:uiPriority w:val="0"/>
    <w:rPr>
      <w:rFonts w:ascii="Times New Roman" w:hAnsi="Times New Roman" w:eastAsia="宋体" w:cs="Times New Roman"/>
      <w:sz w:val="24"/>
      <w:szCs w:val="24"/>
      <w:lang w:val="en-US" w:eastAsia="zh-CN" w:bidi="ar-SA"/>
    </w:rPr>
  </w:style>
  <w:style w:type="paragraph" w:customStyle="1" w:styleId="123">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4">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5">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6">
    <w:name w:val="Footnote Text Char"/>
    <w:basedOn w:val="32"/>
    <w:link w:val="24"/>
    <w:semiHidden/>
    <w:qFormat/>
    <w:uiPriority w:val="0"/>
    <w:rPr>
      <w:rFonts w:eastAsiaTheme="minorEastAsia"/>
      <w:lang w:eastAsia="en-US"/>
    </w:rPr>
  </w:style>
  <w:style w:type="paragraph" w:customStyle="1" w:styleId="12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character" w:customStyle="1" w:styleId="128">
    <w:name w:val="ZGSM"/>
    <w:qFormat/>
    <w:uiPriority w:val="0"/>
  </w:style>
  <w:style w:type="paragraph" w:customStyle="1" w:styleId="129">
    <w:name w:val="0 Main text"/>
    <w:basedOn w:val="1"/>
    <w:link w:val="130"/>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0">
    <w:name w:val="0 Main text Char"/>
    <w:basedOn w:val="32"/>
    <w:link w:val="129"/>
    <w:qFormat/>
    <w:uiPriority w:val="0"/>
    <w:rPr>
      <w:rFonts w:eastAsia="Malgun Gothic" w:cs="Batang"/>
      <w:lang w:val="en-GB" w:eastAsia="en-US"/>
    </w:rPr>
  </w:style>
  <w:style w:type="character" w:customStyle="1" w:styleId="131">
    <w:name w:val="Heading 3 Char"/>
    <w:basedOn w:val="32"/>
    <w:link w:val="4"/>
    <w:qFormat/>
    <w:uiPriority w:val="0"/>
    <w:rPr>
      <w:rFonts w:eastAsiaTheme="minorEastAsia"/>
      <w:b/>
      <w:bCs/>
      <w:sz w:val="24"/>
      <w:szCs w:val="28"/>
      <w:lang w:eastAsia="en-US"/>
    </w:rPr>
  </w:style>
  <w:style w:type="paragraph" w:styleId="132">
    <w:name w:val="No Spacing"/>
    <w:qFormat/>
    <w:uiPriority w:val="1"/>
    <w:pPr>
      <w:overflowPunct w:val="0"/>
      <w:autoSpaceDE w:val="0"/>
      <w:autoSpaceDN w:val="0"/>
      <w:adjustRightInd w:val="0"/>
      <w:textAlignment w:val="baseline"/>
    </w:pPr>
    <w:rPr>
      <w:rFonts w:ascii="Times New Roman" w:hAnsi="Times New Roman" w:eastAsia="宋体" w:cs="Times New Roman"/>
      <w:lang w:val="en-US" w:eastAsia="en-US" w:bidi="ar-SA"/>
    </w:rPr>
  </w:style>
  <w:style w:type="paragraph" w:customStyle="1" w:styleId="133">
    <w:name w:val="paragraph"/>
    <w:basedOn w:val="1"/>
    <w:qFormat/>
    <w:uiPriority w:val="0"/>
    <w:pPr>
      <w:spacing w:after="0"/>
    </w:pPr>
    <w:rPr>
      <w:sz w:val="24"/>
      <w:szCs w:val="24"/>
    </w:rPr>
  </w:style>
  <w:style w:type="paragraph" w:customStyle="1" w:styleId="134">
    <w:name w:val="Revision3"/>
    <w:hidden/>
    <w:semiHidden/>
    <w:qFormat/>
    <w:uiPriority w:val="99"/>
    <w:rPr>
      <w:rFonts w:ascii="Times New Roman" w:hAnsi="Times New Roman" w:cs="Times New Roman" w:eastAsiaTheme="minorEastAsia"/>
      <w:sz w:val="22"/>
      <w:szCs w:val="22"/>
      <w:lang w:val="en-US" w:eastAsia="en-US" w:bidi="ar-SA"/>
    </w:rPr>
  </w:style>
  <w:style w:type="character" w:customStyle="1" w:styleId="135">
    <w:name w:val="Heading 4 Char"/>
    <w:basedOn w:val="32"/>
    <w:link w:val="5"/>
    <w:qFormat/>
    <w:uiPriority w:val="0"/>
    <w:rPr>
      <w:rFonts w:eastAsiaTheme="minorEastAsia"/>
      <w:b/>
      <w:bCs/>
      <w:sz w:val="24"/>
      <w:szCs w:val="28"/>
      <w:lang w:eastAsia="en-US"/>
    </w:rPr>
  </w:style>
  <w:style w:type="paragraph" w:customStyle="1" w:styleId="136">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37">
    <w:name w:val="eop"/>
    <w:qFormat/>
    <w:uiPriority w:val="0"/>
  </w:style>
  <w:style w:type="character" w:customStyle="1" w:styleId="138">
    <w:name w:val="Heading 1 Char"/>
    <w:basedOn w:val="32"/>
    <w:link w:val="2"/>
    <w:qFormat/>
    <w:uiPriority w:val="0"/>
    <w:rPr>
      <w:rFonts w:eastAsiaTheme="minorEastAsia"/>
      <w:b/>
      <w:bCs/>
      <w:sz w:val="28"/>
      <w:szCs w:val="28"/>
      <w:lang w:eastAsia="en-US"/>
    </w:rPr>
  </w:style>
  <w:style w:type="character" w:customStyle="1" w:styleId="139">
    <w:name w:val="Heading 2 Char"/>
    <w:link w:val="3"/>
    <w:qFormat/>
    <w:uiPriority w:val="0"/>
    <w:rPr>
      <w:rFonts w:eastAsiaTheme="minorEastAsia"/>
      <w:b/>
      <w:bCs/>
      <w:sz w:val="24"/>
      <w:szCs w:val="28"/>
      <w:lang w:eastAsia="en-US"/>
    </w:rPr>
  </w:style>
  <w:style w:type="character" w:customStyle="1" w:styleId="140">
    <w:name w:val="Heading 5 Char"/>
    <w:link w:val="6"/>
    <w:qFormat/>
    <w:uiPriority w:val="0"/>
    <w:rPr>
      <w:rFonts w:eastAsiaTheme="minorEastAsia"/>
      <w:b/>
      <w:bCs/>
      <w:i/>
      <w:iCs/>
      <w:sz w:val="22"/>
      <w:szCs w:val="26"/>
      <w:lang w:eastAsia="en-US"/>
    </w:rPr>
  </w:style>
  <w:style w:type="character" w:customStyle="1" w:styleId="141">
    <w:name w:val="Balloon Text Char"/>
    <w:link w:val="20"/>
    <w:semiHidden/>
    <w:qFormat/>
    <w:uiPriority w:val="99"/>
    <w:rPr>
      <w:rFonts w:ascii="Tahoma" w:hAnsi="Tahoma" w:cs="Tahoma" w:eastAsiaTheme="minorEastAsia"/>
      <w:sz w:val="16"/>
      <w:szCs w:val="16"/>
      <w:lang w:eastAsia="en-US"/>
    </w:rPr>
  </w:style>
  <w:style w:type="character" w:customStyle="1" w:styleId="142">
    <w:name w:val="Heading 8 Char"/>
    <w:link w:val="9"/>
    <w:qFormat/>
    <w:uiPriority w:val="9"/>
    <w:rPr>
      <w:rFonts w:eastAsiaTheme="minorEastAsia"/>
      <w:i/>
      <w:iCs/>
      <w:sz w:val="24"/>
      <w:szCs w:val="24"/>
      <w:lang w:eastAsia="en-US"/>
    </w:rPr>
  </w:style>
  <w:style w:type="character" w:customStyle="1" w:styleId="143">
    <w:name w:val="high-light-bg"/>
    <w:qFormat/>
    <w:uiPriority w:val="0"/>
  </w:style>
  <w:style w:type="paragraph" w:customStyle="1" w:styleId="144">
    <w:name w:val="스타일 스타일 스타일 스타일 양쪽 첫 줄:  2 글자 + 첫 줄:  2 글자 + 첫 줄:  2 글자 + 첫 줄:  2..."/>
    <w:basedOn w:val="1"/>
    <w:link w:val="145"/>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5">
    <w:name w:val="스타일 스타일 스타일 스타일 양쪽 첫 줄:  2 글자 + 첫 줄:  2 글자 + 첫 줄:  2 글자 + 첫 줄:  2... Char"/>
    <w:link w:val="144"/>
    <w:qFormat/>
    <w:uiPriority w:val="0"/>
    <w:rPr>
      <w:rFonts w:eastAsia="Malgun Gothic" w:cs="Batang"/>
      <w:lang w:val="en-GB" w:eastAsia="en-US"/>
    </w:rPr>
  </w:style>
  <w:style w:type="paragraph" w:customStyle="1" w:styleId="146">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7">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48">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49">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0">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1">
    <w:name w:val="text"/>
    <w:basedOn w:val="1"/>
    <w:link w:val="152"/>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2">
    <w:name w:val="text Char"/>
    <w:link w:val="151"/>
    <w:qFormat/>
    <w:uiPriority w:val="0"/>
    <w:rPr>
      <w:rFonts w:ascii="Calibri" w:hAnsi="Calibri"/>
      <w:kern w:val="2"/>
      <w:sz w:val="24"/>
    </w:rPr>
  </w:style>
  <w:style w:type="paragraph" w:customStyle="1" w:styleId="153">
    <w:name w:val="bullet1"/>
    <w:basedOn w:val="151"/>
    <w:link w:val="155"/>
    <w:qFormat/>
    <w:uiPriority w:val="0"/>
    <w:pPr>
      <w:widowControl/>
      <w:numPr>
        <w:ilvl w:val="0"/>
        <w:numId w:val="8"/>
      </w:numPr>
      <w:spacing w:after="0"/>
      <w:jc w:val="left"/>
    </w:pPr>
    <w:rPr>
      <w:szCs w:val="24"/>
      <w:lang w:val="en-GB"/>
    </w:rPr>
  </w:style>
  <w:style w:type="paragraph" w:customStyle="1" w:styleId="154">
    <w:name w:val="bullet2"/>
    <w:basedOn w:val="151"/>
    <w:qFormat/>
    <w:uiPriority w:val="0"/>
    <w:pPr>
      <w:widowControl/>
      <w:numPr>
        <w:ilvl w:val="1"/>
        <w:numId w:val="8"/>
      </w:numPr>
      <w:tabs>
        <w:tab w:val="left" w:pos="1440"/>
      </w:tabs>
      <w:spacing w:after="0"/>
      <w:jc w:val="left"/>
    </w:pPr>
    <w:rPr>
      <w:rFonts w:ascii="Times" w:hAnsi="Times"/>
      <w:szCs w:val="24"/>
      <w:lang w:val="en-GB"/>
    </w:rPr>
  </w:style>
  <w:style w:type="character" w:customStyle="1" w:styleId="155">
    <w:name w:val="bullet1 Char"/>
    <w:link w:val="153"/>
    <w:qFormat/>
    <w:uiPriority w:val="0"/>
    <w:rPr>
      <w:rFonts w:ascii="Calibri" w:hAnsi="Calibri"/>
      <w:kern w:val="2"/>
      <w:sz w:val="24"/>
      <w:szCs w:val="24"/>
      <w:lang w:val="en-GB"/>
    </w:rPr>
  </w:style>
  <w:style w:type="paragraph" w:customStyle="1" w:styleId="156">
    <w:name w:val="bullet3"/>
    <w:basedOn w:val="151"/>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7">
    <w:name w:val="bullet4"/>
    <w:basedOn w:val="151"/>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58">
    <w:name w:val="PL Char"/>
    <w:link w:val="136"/>
    <w:qFormat/>
    <w:uiPriority w:val="0"/>
    <w:rPr>
      <w:rFonts w:ascii="Courier New" w:hAnsi="Courier New"/>
      <w:sz w:val="16"/>
      <w:lang w:val="en-GB" w:eastAsia="en-GB"/>
    </w:rPr>
  </w:style>
  <w:style w:type="character" w:customStyle="1" w:styleId="159">
    <w:name w:val="TAL Car"/>
    <w:qFormat/>
    <w:uiPriority w:val="0"/>
    <w:rPr>
      <w:rFonts w:ascii="Arial" w:hAnsi="Arial" w:eastAsia="Times New Roman"/>
      <w:sz w:val="18"/>
      <w:lang w:val="zh-CN" w:eastAsia="zh-CN"/>
    </w:rPr>
  </w:style>
  <w:style w:type="paragraph" w:customStyle="1" w:styleId="160">
    <w:name w:val="CR Cover Page"/>
    <w:qFormat/>
    <w:uiPriority w:val="0"/>
    <w:pPr>
      <w:spacing w:after="120"/>
    </w:pPr>
    <w:rPr>
      <w:rFonts w:ascii="Arial" w:hAnsi="Arial" w:eastAsia="等线" w:cs="Times New Roman"/>
      <w:lang w:val="en-GB" w:eastAsia="en-US" w:bidi="ar-SA"/>
    </w:rPr>
  </w:style>
  <w:style w:type="character" w:customStyle="1" w:styleId="161">
    <w:name w:val="LGTdoc_본문 Char"/>
    <w:link w:val="84"/>
    <w:qFormat/>
    <w:uiPriority w:val="0"/>
    <w:rPr>
      <w:rFonts w:eastAsia="Batang"/>
      <w:kern w:val="2"/>
      <w:sz w:val="22"/>
      <w:szCs w:val="24"/>
      <w:lang w:val="en-GB" w:eastAsia="ko-KR"/>
    </w:rPr>
  </w:style>
  <w:style w:type="paragraph" w:customStyle="1" w:styleId="162">
    <w:name w:val="Style1"/>
    <w:basedOn w:val="1"/>
    <w:link w:val="163"/>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3">
    <w:name w:val="Style1 Char"/>
    <w:link w:val="162"/>
    <w:qFormat/>
    <w:uiPriority w:val="0"/>
  </w:style>
  <w:style w:type="paragraph" w:customStyle="1" w:styleId="164">
    <w:name w:val="正文2"/>
    <w:qFormat/>
    <w:uiPriority w:val="0"/>
    <w:pPr>
      <w:spacing w:before="100" w:beforeAutospacing="1" w:after="180"/>
    </w:pPr>
    <w:rPr>
      <w:rFonts w:ascii="Times New Roman" w:hAnsi="Times New Roman" w:eastAsia="等线" w:cs="Times New Roman"/>
      <w:sz w:val="24"/>
      <w:szCs w:val="24"/>
      <w:lang w:val="en-US" w:eastAsia="zh-CN" w:bidi="ar-SA"/>
    </w:rPr>
  </w:style>
  <w:style w:type="table" w:customStyle="1" w:styleId="165">
    <w:name w:val="表 (格子)1"/>
    <w:basedOn w:val="38"/>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6">
    <w:name w:val="正文3"/>
    <w:qFormat/>
    <w:uiPriority w:val="0"/>
    <w:rPr>
      <w:rFonts w:ascii="Times" w:hAnsi="Times" w:eastAsia="宋体" w:cs="Times"/>
      <w:sz w:val="24"/>
      <w:szCs w:val="24"/>
      <w:lang w:val="en-US" w:eastAsia="zh-CN" w:bidi="ar-SA"/>
    </w:rPr>
  </w:style>
  <w:style w:type="paragraph" w:customStyle="1" w:styleId="167">
    <w:name w:val="正文4"/>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68">
    <w:name w:val="00 BodyText"/>
    <w:basedOn w:val="1"/>
    <w:qFormat/>
    <w:uiPriority w:val="0"/>
    <w:pPr>
      <w:spacing w:after="220"/>
    </w:pPr>
    <w:rPr>
      <w:rFonts w:ascii="Arial" w:hAnsi="Arial" w:eastAsia="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6956D3-9752-43A9-B863-6CEB48947227}">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2</Pages>
  <Words>910</Words>
  <Characters>5188</Characters>
  <Lines>43</Lines>
  <Paragraphs>12</Paragraphs>
  <TotalTime>12</TotalTime>
  <ScaleCrop>false</ScaleCrop>
  <LinksUpToDate>false</LinksUpToDate>
  <CharactersWithSpaces>6086</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2020-08-21T03:32:00Z</dcterms:created>
  <dc:creator>张峻峰10005275</dc:creator>
  <cp:keywords>CTPClassification=CTP_NT</cp:keywords>
  <cp:lastModifiedBy>Ziyang ZTE</cp:lastModifiedBy>
  <cp:lastPrinted>2007-06-18T05:08:00Z</cp:lastPrinted>
  <dcterms:modified xsi:type="dcterms:W3CDTF">2020-10-15T03:18:17Z</dcterms:modified>
  <dc:title>3GPP TSG-RAN WG1 Meeting #103-e											R1-200xxxx</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2020-08-20 17:06:14Z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2052-10.8.2.6990</vt:lpwstr>
  </property>
  <property fmtid="{D5CDD505-2E9C-101B-9397-08002B2CF9AE}" pid="29" name="CTPClassification">
    <vt:lpwstr>CTP_NT</vt:lpwstr>
  </property>
</Properties>
</file>